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44"/>
          <w:szCs w:val="44"/>
          <w:highlight w:val="none"/>
          <w:lang w:eastAsia="zh-CN"/>
        </w:rPr>
      </w:pPr>
      <w:bookmarkStart w:id="0" w:name="_Toc15054"/>
    </w:p>
    <w:bookmarkEnd w:id="0"/>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color w:val="auto"/>
          <w:sz w:val="44"/>
          <w:szCs w:val="44"/>
          <w:highlight w:val="none"/>
        </w:rPr>
      </w:pPr>
      <w:bookmarkStart w:id="1" w:name="_Toc5725"/>
      <w:bookmarkStart w:id="2" w:name="_Toc17886"/>
      <w:r>
        <w:rPr>
          <w:rFonts w:hint="eastAsia" w:ascii="宋体" w:hAnsi="宋体" w:eastAsia="宋体" w:cs="宋体"/>
          <w:b/>
          <w:bCs/>
          <w:color w:val="auto"/>
          <w:sz w:val="44"/>
          <w:szCs w:val="44"/>
          <w:highlight w:val="none"/>
          <w:lang w:val="en-US" w:eastAsia="zh-CN"/>
        </w:rPr>
        <w:t>2018年6月-2022年12月湖南省邵阳宝庆工业集中区水务PPP项目资金绩效评价报告</w:t>
      </w:r>
      <w:bookmarkEnd w:id="1"/>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8"/>
          <w:sz w:val="32"/>
          <w:szCs w:val="32"/>
          <w:highlight w:val="none"/>
        </w:rPr>
      </w:pPr>
      <w:bookmarkStart w:id="3" w:name="_Toc390267051"/>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pacing w:val="-8"/>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auto"/>
          <w:spacing w:val="-8"/>
          <w:sz w:val="32"/>
          <w:szCs w:val="32"/>
          <w:highlight w:val="none"/>
        </w:rPr>
      </w:pPr>
      <w:r>
        <w:rPr>
          <w:rFonts w:hint="eastAsia" w:ascii="仿宋" w:hAnsi="仿宋" w:eastAsia="仿宋" w:cs="仿宋"/>
          <w:color w:val="auto"/>
          <w:sz w:val="32"/>
          <w:szCs w:val="32"/>
          <w:highlight w:val="none"/>
          <w:lang w:val="en-US" w:eastAsia="zh-CN"/>
        </w:rPr>
        <w:t>根据《中共中央 国务院关于全面实施预算绩效管理的意见》（中发〔2018〕34号）、《中共湖南省委办公厅 湖南省人民政府办公厅关于全面实施预算绩效管理的实施意见》（湘办发〔2019〕10号）和《湖南省财政厅关于印发湖南省预算支出绩效评价管理办法的通知》（湘财绩〔2020〕7号）等有关规定，</w:t>
      </w:r>
      <w:r>
        <w:rPr>
          <w:rFonts w:hint="eastAsia" w:ascii="仿宋" w:hAnsi="仿宋" w:eastAsia="仿宋" w:cs="仿宋"/>
          <w:color w:val="auto"/>
          <w:spacing w:val="-8"/>
          <w:sz w:val="32"/>
          <w:szCs w:val="32"/>
          <w:highlight w:val="none"/>
          <w:lang w:eastAsia="zh-CN"/>
        </w:rPr>
        <w:t>按照</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eastAsia="zh-CN"/>
        </w:rPr>
        <w:t>邵阳市财政局关于开展2020-2022年度湖南省邵阳市宝庆工业园集中区水务工程PPP项目资金绩效评价工作的通知</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eastAsia="zh-CN"/>
        </w:rPr>
        <w:t>邵</w:t>
      </w:r>
      <w:r>
        <w:rPr>
          <w:rFonts w:hint="eastAsia" w:ascii="仿宋" w:hAnsi="仿宋" w:eastAsia="仿宋" w:cs="仿宋"/>
          <w:color w:val="auto"/>
          <w:spacing w:val="-8"/>
          <w:sz w:val="32"/>
          <w:szCs w:val="32"/>
          <w:highlight w:val="none"/>
        </w:rPr>
        <w:t>财绩〔202</w:t>
      </w:r>
      <w:r>
        <w:rPr>
          <w:rFonts w:hint="eastAsia" w:ascii="仿宋" w:hAnsi="仿宋" w:eastAsia="仿宋" w:cs="仿宋"/>
          <w:color w:val="auto"/>
          <w:spacing w:val="-8"/>
          <w:sz w:val="32"/>
          <w:szCs w:val="32"/>
          <w:highlight w:val="none"/>
          <w:lang w:val="en-US" w:eastAsia="zh-CN"/>
        </w:rPr>
        <w:t>3</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8</w:t>
      </w:r>
      <w:r>
        <w:rPr>
          <w:rFonts w:hint="eastAsia" w:ascii="仿宋" w:hAnsi="仿宋" w:eastAsia="仿宋" w:cs="仿宋"/>
          <w:color w:val="auto"/>
          <w:spacing w:val="-8"/>
          <w:sz w:val="32"/>
          <w:szCs w:val="32"/>
          <w:highlight w:val="none"/>
        </w:rPr>
        <w:t>号）要求，</w:t>
      </w:r>
      <w:r>
        <w:rPr>
          <w:rFonts w:hint="eastAsia" w:ascii="仿宋" w:hAnsi="仿宋" w:eastAsia="仿宋" w:cs="仿宋"/>
          <w:color w:val="auto"/>
          <w:spacing w:val="-8"/>
          <w:sz w:val="32"/>
          <w:szCs w:val="32"/>
          <w:highlight w:val="none"/>
          <w:lang w:val="en-US" w:eastAsia="zh-CN"/>
        </w:rPr>
        <w:t>根据招投标中标结果，</w:t>
      </w:r>
      <w:r>
        <w:rPr>
          <w:rFonts w:hint="eastAsia" w:ascii="仿宋" w:hAnsi="仿宋" w:eastAsia="仿宋" w:cs="仿宋"/>
          <w:color w:val="auto"/>
          <w:spacing w:val="-8"/>
          <w:sz w:val="32"/>
          <w:szCs w:val="32"/>
          <w:highlight w:val="none"/>
          <w:lang w:eastAsia="zh-CN"/>
        </w:rPr>
        <w:t>我们接受邵阳市财政</w:t>
      </w:r>
      <w:r>
        <w:rPr>
          <w:rFonts w:hint="eastAsia" w:ascii="仿宋" w:hAnsi="仿宋" w:eastAsia="仿宋" w:cs="仿宋"/>
          <w:color w:val="auto"/>
          <w:spacing w:val="-8"/>
          <w:sz w:val="32"/>
          <w:szCs w:val="32"/>
          <w:highlight w:val="none"/>
        </w:rPr>
        <w:t>局委托组成评价工作组，对</w:t>
      </w:r>
      <w:r>
        <w:rPr>
          <w:rFonts w:hint="eastAsia" w:ascii="仿宋" w:hAnsi="仿宋" w:eastAsia="仿宋" w:cs="仿宋"/>
          <w:color w:val="auto"/>
          <w:spacing w:val="-8"/>
          <w:sz w:val="32"/>
          <w:szCs w:val="32"/>
          <w:highlight w:val="none"/>
          <w:lang w:eastAsia="zh-CN"/>
        </w:rPr>
        <w:t>2018年6月-2022年12月湖南省邵阳市宝庆工业集中区水务PPP项目（</w:t>
      </w:r>
      <w:r>
        <w:rPr>
          <w:rFonts w:hint="eastAsia" w:ascii="仿宋" w:hAnsi="仿宋" w:eastAsia="仿宋" w:cs="仿宋"/>
          <w:color w:val="auto"/>
          <w:spacing w:val="-8"/>
          <w:sz w:val="32"/>
          <w:szCs w:val="32"/>
          <w:highlight w:val="none"/>
          <w:lang w:val="en-US" w:eastAsia="zh-CN"/>
        </w:rPr>
        <w:t>以下简称宝工区水务PPP项目）</w:t>
      </w:r>
      <w:r>
        <w:rPr>
          <w:rFonts w:hint="eastAsia" w:ascii="仿宋" w:hAnsi="仿宋" w:eastAsia="仿宋" w:cs="仿宋"/>
          <w:color w:val="auto"/>
          <w:spacing w:val="-8"/>
          <w:sz w:val="32"/>
          <w:szCs w:val="32"/>
          <w:highlight w:val="none"/>
          <w:lang w:eastAsia="zh-CN"/>
        </w:rPr>
        <w:t>资金</w:t>
      </w:r>
      <w:r>
        <w:rPr>
          <w:rFonts w:hint="eastAsia" w:ascii="仿宋" w:hAnsi="仿宋" w:eastAsia="仿宋" w:cs="仿宋"/>
          <w:color w:val="auto"/>
          <w:spacing w:val="-8"/>
          <w:sz w:val="32"/>
          <w:szCs w:val="32"/>
          <w:highlight w:val="none"/>
        </w:rPr>
        <w:t>进行</w:t>
      </w:r>
      <w:r>
        <w:rPr>
          <w:rFonts w:hint="eastAsia" w:ascii="仿宋" w:hAnsi="仿宋" w:eastAsia="仿宋" w:cs="仿宋"/>
          <w:color w:val="auto"/>
          <w:spacing w:val="-8"/>
          <w:sz w:val="32"/>
          <w:szCs w:val="32"/>
          <w:highlight w:val="none"/>
          <w:lang w:eastAsia="zh-CN"/>
        </w:rPr>
        <w:t>了</w:t>
      </w:r>
      <w:r>
        <w:rPr>
          <w:rFonts w:hint="eastAsia" w:ascii="仿宋" w:hAnsi="仿宋" w:eastAsia="仿宋" w:cs="仿宋"/>
          <w:color w:val="auto"/>
          <w:spacing w:val="-8"/>
          <w:sz w:val="32"/>
          <w:szCs w:val="32"/>
          <w:highlight w:val="none"/>
        </w:rPr>
        <w:t>绩效评价。现将绩效评价情况报告如下：</w:t>
      </w:r>
    </w:p>
    <w:p>
      <w:pPr>
        <w:pStyle w:val="11"/>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黑体" w:hAnsi="黑体" w:eastAsia="黑体" w:cs="黑体"/>
          <w:b w:val="0"/>
          <w:bCs w:val="0"/>
          <w:color w:val="auto"/>
          <w:sz w:val="32"/>
          <w:szCs w:val="32"/>
          <w:highlight w:val="none"/>
        </w:rPr>
      </w:pPr>
      <w:bookmarkStart w:id="4" w:name="_Toc27520"/>
      <w:bookmarkStart w:id="5" w:name="_Toc16401"/>
      <w:r>
        <w:rPr>
          <w:rFonts w:hint="eastAsia" w:ascii="黑体" w:hAnsi="黑体" w:eastAsia="黑体" w:cs="黑体"/>
          <w:b w:val="0"/>
          <w:bCs w:val="0"/>
          <w:color w:val="auto"/>
          <w:sz w:val="32"/>
          <w:szCs w:val="32"/>
          <w:highlight w:val="none"/>
        </w:rPr>
        <w:t>一、项目基本情况</w:t>
      </w:r>
      <w:bookmarkEnd w:id="3"/>
      <w:bookmarkEnd w:id="4"/>
      <w:bookmarkEnd w:id="5"/>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1"/>
        <w:rPr>
          <w:rFonts w:hint="eastAsia" w:ascii="楷体" w:hAnsi="楷体" w:eastAsia="楷体" w:cs="楷体"/>
          <w:b/>
          <w:bCs/>
          <w:color w:val="auto"/>
          <w:sz w:val="32"/>
          <w:szCs w:val="32"/>
          <w:highlight w:val="none"/>
          <w:lang w:eastAsia="zh-CN"/>
        </w:rPr>
      </w:pPr>
      <w:bookmarkStart w:id="6" w:name="_Toc28338"/>
      <w:bookmarkStart w:id="7" w:name="_Toc21260"/>
      <w:r>
        <w:rPr>
          <w:rFonts w:hint="eastAsia" w:ascii="楷体" w:hAnsi="楷体" w:eastAsia="楷体" w:cs="楷体"/>
          <w:b/>
          <w:bCs/>
          <w:color w:val="auto"/>
          <w:sz w:val="32"/>
          <w:szCs w:val="32"/>
          <w:highlight w:val="none"/>
        </w:rPr>
        <w:t>（一）</w:t>
      </w:r>
      <w:r>
        <w:rPr>
          <w:rFonts w:hint="eastAsia" w:ascii="楷体" w:hAnsi="楷体" w:eastAsia="楷体" w:cs="楷体"/>
          <w:b/>
          <w:bCs/>
          <w:color w:val="auto"/>
          <w:sz w:val="32"/>
          <w:szCs w:val="32"/>
          <w:highlight w:val="none"/>
          <w:lang w:eastAsia="zh-CN"/>
        </w:rPr>
        <w:t>项目</w:t>
      </w:r>
      <w:bookmarkEnd w:id="6"/>
      <w:r>
        <w:rPr>
          <w:rFonts w:hint="eastAsia" w:ascii="楷体" w:hAnsi="楷体" w:eastAsia="楷体" w:cs="楷体"/>
          <w:b/>
          <w:bCs/>
          <w:color w:val="auto"/>
          <w:sz w:val="32"/>
          <w:szCs w:val="32"/>
          <w:highlight w:val="none"/>
          <w:lang w:val="en-US" w:eastAsia="zh-CN"/>
        </w:rPr>
        <w:t>背景</w:t>
      </w:r>
      <w:bookmarkEnd w:id="7"/>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eastAsia"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根据国家《水污染防治行动计划》和湖南省人民政府关于印发《湖南省贯彻落实&lt;水污染防治行动计划&gt;实施方案（2016-2020）》的通知（湘政发</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15</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53</w:t>
      </w:r>
      <w:r>
        <w:rPr>
          <w:rFonts w:hint="eastAsia" w:ascii="仿宋" w:hAnsi="仿宋" w:eastAsia="仿宋" w:cs="仿宋"/>
          <w:color w:val="auto"/>
          <w:spacing w:val="-8"/>
          <w:sz w:val="32"/>
          <w:szCs w:val="32"/>
          <w:highlight w:val="none"/>
        </w:rPr>
        <w:t>号</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的精神，为改善城市人居环境，确保饮水安全，2016年10月16日，湖南省环境保护厅办公室下发了《关于推进工业园区污水集中处理设施建设工作的通知》（湘环办函</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16</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158</w:t>
      </w:r>
      <w:r>
        <w:rPr>
          <w:rFonts w:hint="eastAsia" w:ascii="仿宋" w:hAnsi="仿宋" w:eastAsia="仿宋" w:cs="仿宋"/>
          <w:color w:val="auto"/>
          <w:spacing w:val="-8"/>
          <w:sz w:val="32"/>
          <w:szCs w:val="32"/>
          <w:highlight w:val="none"/>
        </w:rPr>
        <w:t>号</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要求全省各工业园区在2017年底前建成污水集中处理设施，并安装自动在线监控装置。</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default"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2017年5月9日，邵阳市人民政府办公室发文《关于印发&lt;邵阳市2017年度水污染防治行动计划实施方案&gt;的通知》（邵市办函</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17</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82</w:t>
      </w:r>
      <w:r>
        <w:rPr>
          <w:rFonts w:hint="eastAsia" w:ascii="仿宋" w:hAnsi="仿宋" w:eastAsia="仿宋" w:cs="仿宋"/>
          <w:color w:val="auto"/>
          <w:spacing w:val="-8"/>
          <w:sz w:val="32"/>
          <w:szCs w:val="32"/>
          <w:highlight w:val="none"/>
        </w:rPr>
        <w:t>号</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要求全市加大投资力度，拓宽融资渠道，积极引导社会资本投入，推广PPP模式，推进环境污染第三方治理。邵阳经开区污水集中处理设施建设与在线监测建设项目列为本年度重点项目，采用PPP模式筹措资金，进行建设和运作。项目立项批复文件为《关于邵阳市宝庆工业集中区污水处理及管网工程可行性研究报告的批复》（市发改环资〔2016〕187号），项目主管部门是邵阳经济技术开发区管理委员会，项目实施单位是邵阳经开碧水源水务有限公司。</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1"/>
        <w:rPr>
          <w:rFonts w:hint="default" w:ascii="楷体" w:hAnsi="楷体" w:eastAsia="楷体" w:cs="楷体"/>
          <w:b/>
          <w:bCs/>
          <w:color w:val="auto"/>
          <w:sz w:val="32"/>
          <w:szCs w:val="32"/>
          <w:highlight w:val="none"/>
          <w:lang w:val="en-US" w:eastAsia="zh-CN"/>
        </w:rPr>
      </w:pPr>
      <w:bookmarkStart w:id="8" w:name="_Toc7495"/>
      <w:r>
        <w:rPr>
          <w:rFonts w:hint="eastAsia" w:ascii="楷体" w:hAnsi="楷体" w:eastAsia="楷体" w:cs="楷体"/>
          <w:b/>
          <w:bCs/>
          <w:color w:val="auto"/>
          <w:sz w:val="32"/>
          <w:szCs w:val="32"/>
          <w:highlight w:val="none"/>
          <w:lang w:val="en-US" w:eastAsia="zh-CN"/>
        </w:rPr>
        <w:t>（二）项目概况</w:t>
      </w:r>
      <w:bookmarkEnd w:id="8"/>
    </w:p>
    <w:p>
      <w:pPr>
        <w:keepNext w:val="0"/>
        <w:keepLines w:val="0"/>
        <w:pageBreakBefore w:val="0"/>
        <w:widowControl w:val="0"/>
        <w:kinsoku/>
        <w:wordWrap/>
        <w:overflowPunct/>
        <w:topLinePunct w:val="0"/>
        <w:autoSpaceDE/>
        <w:autoSpaceDN/>
        <w:bidi w:val="0"/>
        <w:adjustRightInd/>
        <w:snapToGrid/>
        <w:spacing w:line="240" w:lineRule="auto"/>
        <w:ind w:firstLine="611" w:firstLineChars="200"/>
        <w:textAlignment w:val="auto"/>
        <w:rPr>
          <w:rFonts w:hint="default" w:ascii="仿宋" w:hAnsi="仿宋" w:eastAsia="仿宋" w:cs="仿宋"/>
          <w:b/>
          <w:bCs/>
          <w:color w:val="auto"/>
          <w:spacing w:val="-8"/>
          <w:sz w:val="32"/>
          <w:szCs w:val="32"/>
          <w:highlight w:val="none"/>
          <w:lang w:val="en-US" w:eastAsia="zh-CN"/>
        </w:rPr>
      </w:pPr>
      <w:r>
        <w:rPr>
          <w:rFonts w:hint="eastAsia" w:ascii="仿宋" w:hAnsi="仿宋" w:eastAsia="仿宋" w:cs="仿宋"/>
          <w:b/>
          <w:bCs/>
          <w:color w:val="auto"/>
          <w:spacing w:val="-8"/>
          <w:sz w:val="32"/>
          <w:szCs w:val="32"/>
          <w:highlight w:val="none"/>
          <w:lang w:val="en-US" w:eastAsia="zh-CN"/>
        </w:rPr>
        <w:t>1.项目工程情况</w:t>
      </w:r>
    </w:p>
    <w:p>
      <w:pPr>
        <w:keepNext w:val="0"/>
        <w:keepLines w:val="0"/>
        <w:pageBreakBefore w:val="0"/>
        <w:widowControl w:val="0"/>
        <w:kinsoku/>
        <w:wordWrap/>
        <w:overflowPunct/>
        <w:topLinePunct w:val="0"/>
        <w:autoSpaceDE/>
        <w:autoSpaceDN/>
        <w:bidi w:val="0"/>
        <w:adjustRightInd/>
        <w:snapToGrid/>
        <w:spacing w:line="240" w:lineRule="auto"/>
        <w:ind w:firstLine="611" w:firstLineChars="200"/>
        <w:textAlignment w:val="auto"/>
        <w:rPr>
          <w:rFonts w:hint="eastAsia" w:ascii="仿宋" w:hAnsi="仿宋" w:eastAsia="仿宋" w:cs="仿宋"/>
          <w:color w:val="auto"/>
          <w:spacing w:val="-8"/>
          <w:sz w:val="32"/>
          <w:szCs w:val="32"/>
          <w:highlight w:val="none"/>
          <w:lang w:val="en-US" w:eastAsia="zh-CN"/>
        </w:rPr>
      </w:pPr>
      <w:r>
        <w:rPr>
          <w:rFonts w:hint="eastAsia" w:ascii="仿宋" w:hAnsi="仿宋" w:eastAsia="仿宋" w:cs="仿宋"/>
          <w:b/>
          <w:bCs/>
          <w:color w:val="auto"/>
          <w:spacing w:val="-8"/>
          <w:sz w:val="32"/>
          <w:szCs w:val="32"/>
          <w:highlight w:val="none"/>
          <w:lang w:val="en-US" w:eastAsia="zh-CN"/>
        </w:rPr>
        <w:t>总投资及资金来源。</w:t>
      </w:r>
      <w:r>
        <w:rPr>
          <w:rFonts w:hint="eastAsia" w:ascii="仿宋" w:hAnsi="仿宋" w:eastAsia="仿宋" w:cs="仿宋"/>
          <w:b w:val="0"/>
          <w:bCs w:val="0"/>
          <w:color w:val="auto"/>
          <w:spacing w:val="-8"/>
          <w:sz w:val="32"/>
          <w:szCs w:val="32"/>
          <w:highlight w:val="none"/>
          <w:lang w:val="en-US" w:eastAsia="zh-CN"/>
        </w:rPr>
        <w:t>该</w:t>
      </w:r>
      <w:r>
        <w:rPr>
          <w:rFonts w:hint="eastAsia" w:ascii="仿宋" w:hAnsi="仿宋" w:eastAsia="仿宋" w:cs="仿宋"/>
          <w:color w:val="auto"/>
          <w:spacing w:val="-8"/>
          <w:sz w:val="32"/>
          <w:szCs w:val="32"/>
          <w:highlight w:val="none"/>
          <w:lang w:val="en-US" w:eastAsia="zh-CN"/>
        </w:rPr>
        <w:t>项目立项批复总投资概算金额为35,808.30万元，其中：进站路污水处理厂一期投资16,276.97万元；发制品产业园废水处理厂一期投资6,896.33万元；管网及其他配套工程项目投资12,635.00万元。由于</w:t>
      </w:r>
      <w:r>
        <w:rPr>
          <w:rFonts w:hint="default" w:ascii="仿宋" w:hAnsi="仿宋" w:eastAsia="仿宋" w:cs="仿宋"/>
          <w:color w:val="auto"/>
          <w:spacing w:val="-8"/>
          <w:sz w:val="32"/>
          <w:szCs w:val="32"/>
          <w:highlight w:val="none"/>
          <w:lang w:val="en-US" w:eastAsia="zh-CN"/>
        </w:rPr>
        <w:t>管网及其他配套工程项目</w:t>
      </w:r>
      <w:r>
        <w:rPr>
          <w:rFonts w:hint="eastAsia" w:ascii="仿宋" w:hAnsi="仿宋" w:eastAsia="仿宋" w:cs="仿宋"/>
          <w:color w:val="auto"/>
          <w:spacing w:val="-8"/>
          <w:sz w:val="32"/>
          <w:szCs w:val="32"/>
          <w:highlight w:val="none"/>
          <w:lang w:val="en-US" w:eastAsia="zh-CN"/>
        </w:rPr>
        <w:t>属于</w:t>
      </w:r>
      <w:r>
        <w:rPr>
          <w:rFonts w:hint="default" w:ascii="仿宋" w:hAnsi="仿宋" w:eastAsia="仿宋" w:cs="仿宋"/>
          <w:color w:val="auto"/>
          <w:spacing w:val="-8"/>
          <w:sz w:val="32"/>
          <w:szCs w:val="32"/>
          <w:highlight w:val="none"/>
          <w:lang w:val="en-US" w:eastAsia="zh-CN"/>
        </w:rPr>
        <w:t>湖南省财政厅湘财债管〔2018〕7号文件中规定不得运用PPP模式运作</w:t>
      </w:r>
      <w:r>
        <w:rPr>
          <w:rFonts w:hint="eastAsia" w:ascii="仿宋" w:hAnsi="仿宋" w:eastAsia="仿宋" w:cs="仿宋"/>
          <w:color w:val="auto"/>
          <w:spacing w:val="-8"/>
          <w:sz w:val="32"/>
          <w:szCs w:val="32"/>
          <w:highlight w:val="none"/>
          <w:lang w:val="en-US" w:eastAsia="zh-CN"/>
        </w:rPr>
        <w:t>的项目</w:t>
      </w:r>
      <w:r>
        <w:rPr>
          <w:rFonts w:hint="default" w:ascii="仿宋" w:hAnsi="仿宋" w:eastAsia="仿宋" w:cs="仿宋"/>
          <w:color w:val="auto"/>
          <w:spacing w:val="-8"/>
          <w:sz w:val="32"/>
          <w:szCs w:val="32"/>
          <w:highlight w:val="none"/>
          <w:lang w:val="en-US" w:eastAsia="zh-CN"/>
        </w:rPr>
        <w:t>，管网及其他配套工程项目</w:t>
      </w:r>
      <w:r>
        <w:rPr>
          <w:rFonts w:hint="eastAsia" w:ascii="仿宋" w:hAnsi="仿宋" w:eastAsia="仿宋" w:cs="仿宋"/>
          <w:color w:val="auto"/>
          <w:spacing w:val="-8"/>
          <w:sz w:val="32"/>
          <w:szCs w:val="32"/>
          <w:highlight w:val="none"/>
          <w:lang w:val="en-US" w:eastAsia="zh-CN"/>
        </w:rPr>
        <w:t>退出PPP项目，总投资概算调整为23,173.30万元。项目建设资金来源为银行贷款、项目实施单位自筹资金和可用于项目建设的政府股权资金。</w:t>
      </w:r>
    </w:p>
    <w:p>
      <w:pPr>
        <w:keepNext w:val="0"/>
        <w:keepLines w:val="0"/>
        <w:pageBreakBefore w:val="0"/>
        <w:widowControl w:val="0"/>
        <w:kinsoku/>
        <w:wordWrap/>
        <w:overflowPunct/>
        <w:topLinePunct w:val="0"/>
        <w:autoSpaceDE/>
        <w:autoSpaceDN/>
        <w:bidi w:val="0"/>
        <w:adjustRightInd/>
        <w:snapToGrid/>
        <w:spacing w:line="240" w:lineRule="auto"/>
        <w:ind w:firstLine="611" w:firstLineChars="200"/>
        <w:textAlignment w:val="auto"/>
        <w:rPr>
          <w:rFonts w:hint="default" w:ascii="仿宋" w:hAnsi="仿宋" w:eastAsia="仿宋" w:cs="仿宋"/>
          <w:color w:val="auto"/>
          <w:spacing w:val="-8"/>
          <w:sz w:val="32"/>
          <w:szCs w:val="32"/>
          <w:highlight w:val="none"/>
          <w:lang w:val="en-US" w:eastAsia="zh-CN"/>
        </w:rPr>
      </w:pPr>
      <w:r>
        <w:rPr>
          <w:rFonts w:hint="eastAsia" w:ascii="仿宋" w:hAnsi="仿宋" w:eastAsia="仿宋" w:cs="仿宋"/>
          <w:b/>
          <w:bCs/>
          <w:color w:val="auto"/>
          <w:spacing w:val="-8"/>
          <w:sz w:val="32"/>
          <w:szCs w:val="32"/>
          <w:highlight w:val="none"/>
          <w:lang w:val="en-US" w:eastAsia="zh-CN"/>
        </w:rPr>
        <w:t>建设规模与建设内容。</w:t>
      </w:r>
      <w:r>
        <w:rPr>
          <w:rFonts w:hint="eastAsia" w:ascii="仿宋" w:hAnsi="仿宋" w:eastAsia="仿宋" w:cs="仿宋"/>
          <w:b w:val="0"/>
          <w:bCs w:val="0"/>
          <w:color w:val="auto"/>
          <w:spacing w:val="-8"/>
          <w:sz w:val="32"/>
          <w:szCs w:val="32"/>
          <w:highlight w:val="none"/>
          <w:lang w:val="en-US" w:eastAsia="zh-CN"/>
        </w:rPr>
        <w:t>项目立项批复文件的原有</w:t>
      </w:r>
      <w:r>
        <w:rPr>
          <w:rFonts w:hint="eastAsia" w:ascii="仿宋" w:hAnsi="仿宋" w:eastAsia="仿宋" w:cs="仿宋"/>
          <w:color w:val="auto"/>
          <w:spacing w:val="-8"/>
          <w:sz w:val="32"/>
          <w:szCs w:val="32"/>
          <w:highlight w:val="none"/>
          <w:lang w:val="en-US" w:eastAsia="zh-CN"/>
        </w:rPr>
        <w:t>建设内容包括建设污水处理厂1座，废水处理厂1座，管网及配套工程共三项：一是</w:t>
      </w:r>
      <w:r>
        <w:rPr>
          <w:rFonts w:hint="eastAsia" w:ascii="仿宋" w:hAnsi="仿宋" w:eastAsia="仿宋" w:cs="仿宋"/>
          <w:b w:val="0"/>
          <w:bCs w:val="0"/>
          <w:color w:val="auto"/>
          <w:spacing w:val="-8"/>
          <w:sz w:val="32"/>
          <w:szCs w:val="32"/>
          <w:highlight w:val="none"/>
          <w:lang w:val="en-US" w:eastAsia="zh-CN"/>
        </w:rPr>
        <w:t>在</w:t>
      </w:r>
      <w:r>
        <w:rPr>
          <w:rFonts w:hint="eastAsia" w:ascii="仿宋" w:hAnsi="仿宋" w:eastAsia="仿宋" w:cs="仿宋"/>
          <w:color w:val="auto"/>
          <w:spacing w:val="-8"/>
          <w:sz w:val="32"/>
          <w:szCs w:val="32"/>
          <w:highlight w:val="none"/>
          <w:lang w:val="en-US" w:eastAsia="zh-CN"/>
        </w:rPr>
        <w:t>经开区进站路新建一座污水处理厂，一期规模20000立方米/日，远期80000立方米/日，建设内容主要有：建设粗格栅及提升泵房、中细格栅及曝气沉砂池、事故池及调节池、水解酸化池、AA0及MBR膜池、紫外消毒、变配电间、加药间及鼓风机房、贮泥池、综合楼、门卫等。二是在经开区高新路东侧的发制品产业园新建一座废水处理厂，一期2000立方米/日，远期4000立方米/日，建设内容主要有：建设调节池、气浮池、微电解池及水解池、MBR膜池、厌氧池、好氧池、消毒池、贮泥池、综合楼、门卫等。三是管网及其他配套工程项目，主要包括红旗渠污水干管工程、污水厂管网连接段、红旗渠绿化景观、河道治理及其配套工程。</w:t>
      </w:r>
      <w:r>
        <w:rPr>
          <w:rFonts w:hint="default" w:ascii="仿宋" w:hAnsi="仿宋" w:eastAsia="仿宋" w:cs="仿宋"/>
          <w:color w:val="auto"/>
          <w:spacing w:val="-8"/>
          <w:sz w:val="32"/>
          <w:szCs w:val="32"/>
          <w:highlight w:val="none"/>
          <w:lang w:val="en-US" w:eastAsia="zh-CN"/>
        </w:rPr>
        <w:t>管网及其他配套工程项目</w:t>
      </w:r>
      <w:r>
        <w:rPr>
          <w:rFonts w:hint="eastAsia" w:ascii="仿宋" w:hAnsi="仿宋" w:eastAsia="仿宋" w:cs="仿宋"/>
          <w:color w:val="auto"/>
          <w:spacing w:val="-8"/>
          <w:sz w:val="32"/>
          <w:szCs w:val="32"/>
          <w:highlight w:val="none"/>
          <w:lang w:val="en-US" w:eastAsia="zh-CN"/>
        </w:rPr>
        <w:t>退出PPP项目后，实际建设内容调整为污水处理厂1座和废水处理厂1座共二个项目。</w:t>
      </w:r>
    </w:p>
    <w:p>
      <w:pPr>
        <w:keepNext w:val="0"/>
        <w:keepLines w:val="0"/>
        <w:pageBreakBefore w:val="0"/>
        <w:widowControl w:val="0"/>
        <w:kinsoku/>
        <w:wordWrap/>
        <w:overflowPunct/>
        <w:topLinePunct w:val="0"/>
        <w:autoSpaceDE/>
        <w:autoSpaceDN/>
        <w:bidi w:val="0"/>
        <w:adjustRightInd/>
        <w:snapToGrid/>
        <w:spacing w:line="240" w:lineRule="auto"/>
        <w:ind w:firstLine="611"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bCs/>
          <w:color w:val="auto"/>
          <w:spacing w:val="-8"/>
          <w:sz w:val="32"/>
          <w:szCs w:val="32"/>
          <w:highlight w:val="none"/>
          <w:lang w:val="en-US" w:eastAsia="zh-CN"/>
        </w:rPr>
        <w:t>PPP项目政府采购执行情况。</w:t>
      </w:r>
      <w:r>
        <w:rPr>
          <w:rFonts w:hint="eastAsia" w:ascii="仿宋" w:hAnsi="仿宋" w:eastAsia="仿宋" w:cs="仿宋"/>
          <w:b w:val="0"/>
          <w:bCs w:val="0"/>
          <w:color w:val="auto"/>
          <w:spacing w:val="-8"/>
          <w:sz w:val="32"/>
          <w:szCs w:val="32"/>
          <w:highlight w:val="none"/>
          <w:lang w:val="en-US" w:eastAsia="zh-CN"/>
        </w:rPr>
        <w:t>该</w:t>
      </w:r>
      <w:r>
        <w:rPr>
          <w:rFonts w:hint="eastAsia" w:ascii="仿宋" w:hAnsi="仿宋" w:eastAsia="仿宋" w:cs="仿宋"/>
          <w:color w:val="auto"/>
          <w:spacing w:val="-8"/>
          <w:sz w:val="32"/>
          <w:szCs w:val="32"/>
          <w:highlight w:val="none"/>
          <w:lang w:val="en-US" w:eastAsia="zh-CN"/>
        </w:rPr>
        <w:t>项目经批准采用单一来源采购方式，经执行采购程序，2017年1月24日，采购代理机构湖南省天平项目管理有限公司向社会资本方北京碧水源科技股份有限公司（联合体牵头人）和北京久安建设投资集团有限公司（联合体成员单位）发出政府采购成交通知书（政府采购编号：邵财采计</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16</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100077））。采购人为宝庆工业集中区管理委员会（现邵阳经济技术开发区管理委员会）。采购人与社会资本方于</w:t>
      </w:r>
      <w:r>
        <w:rPr>
          <w:rFonts w:hint="eastAsia" w:ascii="仿宋" w:hAnsi="仿宋" w:eastAsia="仿宋" w:cs="仿宋"/>
          <w:color w:val="auto"/>
          <w:sz w:val="32"/>
          <w:szCs w:val="32"/>
          <w:highlight w:val="none"/>
          <w:lang w:val="en-US" w:eastAsia="zh-CN"/>
        </w:rPr>
        <w:t>2017年5月9日签订PPP项目合同，但未按规定在发出成交通知书后30日内签订合同。</w:t>
      </w:r>
    </w:p>
    <w:p>
      <w:pPr>
        <w:keepNext w:val="0"/>
        <w:keepLines w:val="0"/>
        <w:pageBreakBefore w:val="0"/>
        <w:widowControl w:val="0"/>
        <w:kinsoku/>
        <w:wordWrap/>
        <w:overflowPunct/>
        <w:topLinePunct w:val="0"/>
        <w:autoSpaceDE/>
        <w:autoSpaceDN/>
        <w:bidi w:val="0"/>
        <w:adjustRightInd/>
        <w:snapToGrid/>
        <w:spacing w:line="240" w:lineRule="auto"/>
        <w:ind w:firstLine="611" w:firstLineChars="200"/>
        <w:textAlignment w:val="auto"/>
        <w:outlineLvl w:val="2"/>
        <w:rPr>
          <w:rFonts w:hint="eastAsia" w:ascii="仿宋" w:hAnsi="仿宋" w:eastAsia="仿宋" w:cs="仿宋"/>
          <w:color w:val="auto"/>
          <w:sz w:val="32"/>
          <w:szCs w:val="32"/>
          <w:highlight w:val="none"/>
          <w:lang w:val="en-US" w:eastAsia="zh-CN"/>
        </w:rPr>
      </w:pPr>
      <w:bookmarkStart w:id="9" w:name="_Toc23230"/>
      <w:r>
        <w:rPr>
          <w:rFonts w:hint="eastAsia" w:ascii="仿宋" w:hAnsi="仿宋" w:eastAsia="仿宋" w:cs="仿宋"/>
          <w:b/>
          <w:bCs/>
          <w:color w:val="auto"/>
          <w:spacing w:val="-8"/>
          <w:sz w:val="32"/>
          <w:szCs w:val="32"/>
          <w:highlight w:val="none"/>
          <w:lang w:val="en-US" w:eastAsia="zh-CN"/>
        </w:rPr>
        <w:t>项目建设、验收及决算情况。</w:t>
      </w:r>
      <w:r>
        <w:rPr>
          <w:rFonts w:hint="eastAsia" w:ascii="仿宋" w:hAnsi="仿宋" w:eastAsia="仿宋" w:cs="仿宋"/>
          <w:b w:val="0"/>
          <w:bCs w:val="0"/>
          <w:color w:val="auto"/>
          <w:spacing w:val="-8"/>
          <w:sz w:val="32"/>
          <w:szCs w:val="32"/>
          <w:highlight w:val="none"/>
          <w:lang w:val="en-US" w:eastAsia="zh-CN"/>
        </w:rPr>
        <w:t>该项目办理了用地规划、环评、初步设计批复、预算评审等手续，由于项目为达到预定投产运行目标，存在边设计边施工</w:t>
      </w:r>
      <w:r>
        <w:rPr>
          <w:rFonts w:hint="eastAsia" w:ascii="仿宋" w:hAnsi="仿宋" w:eastAsia="仿宋" w:cs="仿宋"/>
          <w:color w:val="auto"/>
          <w:sz w:val="32"/>
          <w:szCs w:val="32"/>
          <w:highlight w:val="none"/>
          <w:lang w:val="en-US" w:eastAsia="zh-CN"/>
        </w:rPr>
        <w:t>、边建边批等问题，手续后置，建成使用后才补办初步设计批复、预算评审等手续。</w:t>
      </w:r>
      <w:bookmarkEnd w:id="9"/>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default" w:ascii="仿宋" w:hAnsi="仿宋" w:eastAsia="仿宋" w:cs="仿宋"/>
          <w:color w:val="auto"/>
          <w:spacing w:val="-8"/>
          <w:sz w:val="32"/>
          <w:szCs w:val="32"/>
          <w:highlight w:val="none"/>
          <w:lang w:val="en-US" w:eastAsia="zh-CN"/>
        </w:rPr>
      </w:pPr>
      <w:r>
        <w:rPr>
          <w:rFonts w:hint="eastAsia" w:ascii="仿宋" w:hAnsi="仿宋" w:eastAsia="仿宋" w:cs="仿宋"/>
          <w:b w:val="0"/>
          <w:bCs w:val="0"/>
          <w:color w:val="auto"/>
          <w:spacing w:val="-8"/>
          <w:sz w:val="32"/>
          <w:szCs w:val="32"/>
          <w:highlight w:val="none"/>
          <w:lang w:val="en-US" w:eastAsia="zh-CN"/>
        </w:rPr>
        <w:t>2016年2月26日，办理了污水处理厂用地规划（邵规设字</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16</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06）；2016年4月12日，办理了废水处理厂用地规划</w:t>
      </w:r>
      <w:r>
        <w:rPr>
          <w:rFonts w:hint="eastAsia" w:ascii="仿宋" w:hAnsi="仿宋" w:eastAsia="仿宋" w:cs="仿宋"/>
          <w:b w:val="0"/>
          <w:bCs w:val="0"/>
          <w:color w:val="auto"/>
          <w:spacing w:val="-8"/>
          <w:sz w:val="32"/>
          <w:szCs w:val="32"/>
          <w:highlight w:val="none"/>
          <w:lang w:val="en-US" w:eastAsia="zh-CN"/>
        </w:rPr>
        <w:t>（邵规设字</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16</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19）；</w:t>
      </w:r>
      <w:r>
        <w:rPr>
          <w:rFonts w:hint="eastAsia" w:ascii="仿宋" w:hAnsi="仿宋" w:eastAsia="仿宋" w:cs="仿宋"/>
          <w:b w:val="0"/>
          <w:bCs w:val="0"/>
          <w:color w:val="auto"/>
          <w:spacing w:val="-8"/>
          <w:sz w:val="32"/>
          <w:szCs w:val="32"/>
          <w:highlight w:val="none"/>
          <w:lang w:val="en-US" w:eastAsia="zh-CN"/>
        </w:rPr>
        <w:t>2016年5月10日，取得项目立项批复文件（市发改环资</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16</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187号）；</w:t>
      </w:r>
      <w:r>
        <w:rPr>
          <w:rFonts w:hint="eastAsia" w:ascii="仿宋" w:hAnsi="仿宋" w:eastAsia="仿宋" w:cs="仿宋"/>
          <w:b w:val="0"/>
          <w:bCs w:val="0"/>
          <w:color w:val="auto"/>
          <w:spacing w:val="-8"/>
          <w:sz w:val="32"/>
          <w:szCs w:val="32"/>
          <w:highlight w:val="none"/>
          <w:lang w:val="en-US" w:eastAsia="zh-CN"/>
        </w:rPr>
        <w:t>2016年10月17日，取得废水处理厂环评批复文件（邵宝工环审批</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16</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22号）；2017年5月25日，取得</w:t>
      </w:r>
      <w:r>
        <w:rPr>
          <w:rFonts w:hint="eastAsia" w:ascii="仿宋" w:hAnsi="仿宋" w:eastAsia="仿宋" w:cs="仿宋"/>
          <w:b w:val="0"/>
          <w:bCs w:val="0"/>
          <w:color w:val="auto"/>
          <w:spacing w:val="-8"/>
          <w:sz w:val="32"/>
          <w:szCs w:val="32"/>
          <w:highlight w:val="none"/>
          <w:lang w:val="en-US" w:eastAsia="zh-CN"/>
        </w:rPr>
        <w:t>污水处理厂环评批复文件（邵市环评</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17</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20号）。</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default"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2017年4月20日，邵阳经开碧水源水务有限公司与北京久安建设投资集团有限公司签订进站路污水处理厂和发制品产业园区废水处理厂建设工程施工合同，进站路污水处理厂合同暂估价18219.70万元，发制品产业园废水处理厂合同暂估价6,826.90万元，计划开工日期2017年4月20日，计划竣工日期2018年4月20日。全部项目实际于2017年8月开工，2018年6月竣工。该项目建设监理单位是湖南信可高建设有限公司。</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eastAsia"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2018年3月15日，发制品产业园废水处理厂进入商业试运营期；2018年6月1日，进站路污水处理厂进入商业试运营期。</w:t>
      </w:r>
    </w:p>
    <w:p>
      <w:pPr>
        <w:pStyle w:val="2"/>
        <w:rPr>
          <w:rFonts w:hint="eastAsia"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2018年7月27日、取得污水处理厂初步设计批复文件（</w:t>
      </w:r>
      <w:r>
        <w:rPr>
          <w:rFonts w:hint="eastAsia" w:ascii="仿宋" w:hAnsi="仿宋" w:eastAsia="仿宋" w:cs="仿宋"/>
          <w:b w:val="0"/>
          <w:bCs w:val="0"/>
          <w:color w:val="auto"/>
          <w:spacing w:val="-8"/>
          <w:sz w:val="32"/>
          <w:szCs w:val="32"/>
          <w:highlight w:val="none"/>
          <w:lang w:val="en-US" w:eastAsia="zh-CN"/>
        </w:rPr>
        <w:t>邵经开审批建发</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18</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003号）、2018年9月19日，取得废水处理厂初步设计批复文件（</w:t>
      </w:r>
      <w:r>
        <w:rPr>
          <w:rFonts w:hint="eastAsia" w:ascii="仿宋" w:hAnsi="仿宋" w:eastAsia="仿宋" w:cs="仿宋"/>
          <w:b w:val="0"/>
          <w:bCs w:val="0"/>
          <w:color w:val="auto"/>
          <w:spacing w:val="-8"/>
          <w:sz w:val="32"/>
          <w:szCs w:val="32"/>
          <w:highlight w:val="none"/>
          <w:lang w:val="en-US" w:eastAsia="zh-CN"/>
        </w:rPr>
        <w:t>邵经开审批建发</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18</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004号）。</w:t>
      </w:r>
    </w:p>
    <w:p>
      <w:pPr>
        <w:pStyle w:val="2"/>
        <w:rPr>
          <w:rFonts w:hint="default"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2019年12月6日和12月25日，邵阳市财政投资评审中心完成污水处理厂和废水处理厂项目预算评审报告（</w:t>
      </w:r>
      <w:r>
        <w:rPr>
          <w:rFonts w:hint="eastAsia" w:ascii="仿宋" w:hAnsi="仿宋" w:eastAsia="仿宋" w:cs="仿宋"/>
          <w:b w:val="0"/>
          <w:bCs w:val="0"/>
          <w:color w:val="auto"/>
          <w:spacing w:val="-8"/>
          <w:sz w:val="32"/>
          <w:szCs w:val="32"/>
          <w:highlight w:val="none"/>
          <w:lang w:val="en-US" w:eastAsia="zh-CN"/>
        </w:rPr>
        <w:t>邵财评审</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19</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216号、邵财评审</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19</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146号），其中：污水处理厂项目预算送审金额16,054.60万元，审定金额9,587.15万元；废水处理厂项目预算送审金额5257.17万元，审定金额3,991.21万元。</w:t>
      </w:r>
    </w:p>
    <w:p>
      <w:pPr>
        <w:pStyle w:val="2"/>
        <w:rPr>
          <w:rFonts w:hint="default"/>
          <w:highlight w:val="none"/>
          <w:lang w:val="en-US" w:eastAsia="zh-CN"/>
        </w:rPr>
      </w:pPr>
      <w:r>
        <w:rPr>
          <w:rFonts w:hint="eastAsia" w:ascii="仿宋" w:hAnsi="仿宋" w:eastAsia="仿宋" w:cs="仿宋"/>
          <w:color w:val="auto"/>
          <w:spacing w:val="-8"/>
          <w:sz w:val="32"/>
          <w:szCs w:val="32"/>
          <w:highlight w:val="none"/>
          <w:lang w:val="en-US" w:eastAsia="zh-CN"/>
        </w:rPr>
        <w:t>2020年4月24日，建设单位、设计勘察单位、监理单位、施工单位等组成工程验收小组，一致同意两个工程竣工验收合格，同意交付使用。由于项目已在2018年3月和6月开始商业试运营，存在竣工验收时间滞后情形。</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eastAsia"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2021年11月25日，经开区管委会批复，同意进站路污水处理厂、发制品废水处理厂于2020年4月25日开始正式进入商业运营。</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default" w:ascii="仿宋" w:hAnsi="仿宋" w:eastAsia="仿宋" w:cs="仿宋"/>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2023年2月16日，邵阳市审计局出具审计报告（</w:t>
      </w:r>
      <w:r>
        <w:rPr>
          <w:rFonts w:hint="eastAsia" w:ascii="仿宋" w:hAnsi="仿宋" w:eastAsia="仿宋" w:cs="仿宋"/>
          <w:b w:val="0"/>
          <w:bCs w:val="0"/>
          <w:color w:val="auto"/>
          <w:spacing w:val="-8"/>
          <w:sz w:val="32"/>
          <w:szCs w:val="32"/>
          <w:highlight w:val="none"/>
          <w:lang w:val="en-US" w:eastAsia="zh-CN"/>
        </w:rPr>
        <w:t>招审投报</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23</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3号），发制品废水处理厂建设工程竣工结算书金额4,989.25万元，审计核减1,614.53万元，审定金额3,374.72万元。2023年5月12日出具审计报告（</w:t>
      </w:r>
      <w:r>
        <w:rPr>
          <w:rFonts w:hint="eastAsia" w:ascii="仿宋" w:hAnsi="仿宋" w:eastAsia="仿宋" w:cs="仿宋"/>
          <w:b w:val="0"/>
          <w:bCs w:val="0"/>
          <w:color w:val="auto"/>
          <w:spacing w:val="-8"/>
          <w:sz w:val="32"/>
          <w:szCs w:val="32"/>
          <w:highlight w:val="none"/>
          <w:lang w:val="en-US" w:eastAsia="zh-CN"/>
        </w:rPr>
        <w:t>招审投报</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23</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6号），进站路污水处理厂建设工程送审金额14,750.03万元，核减3,775.38万元，审定金额10,974.65元。两个项目建设工程竣工结算（送审）金额19,739.28‬万元，核减金额5,389.91万元，审定金额14,349.37万元。市审计局在审计报告中指出，该项目在建设期设备采购过程中，存在未进行公开招标、监管未到位等问题。</w:t>
      </w:r>
    </w:p>
    <w:p>
      <w:pPr>
        <w:pStyle w:val="2"/>
        <w:rPr>
          <w:rFonts w:hint="default"/>
          <w:highlight w:val="none"/>
          <w:lang w:val="en-US" w:eastAsia="zh-CN"/>
        </w:rPr>
      </w:pPr>
      <w:r>
        <w:rPr>
          <w:rFonts w:hint="eastAsia" w:ascii="仿宋" w:hAnsi="仿宋" w:eastAsia="仿宋" w:cs="仿宋"/>
          <w:b w:val="0"/>
          <w:bCs w:val="0"/>
          <w:color w:val="auto"/>
          <w:spacing w:val="-8"/>
          <w:sz w:val="32"/>
          <w:szCs w:val="32"/>
          <w:highlight w:val="none"/>
          <w:lang w:val="en-US" w:eastAsia="zh-CN"/>
        </w:rPr>
        <w:t>该项目总投资决算（评审）工作仍在进行中。</w:t>
      </w:r>
    </w:p>
    <w:p>
      <w:pPr>
        <w:keepNext w:val="0"/>
        <w:keepLines w:val="0"/>
        <w:pageBreakBefore w:val="0"/>
        <w:widowControl w:val="0"/>
        <w:kinsoku/>
        <w:wordWrap/>
        <w:overflowPunct/>
        <w:topLinePunct w:val="0"/>
        <w:autoSpaceDE/>
        <w:autoSpaceDN/>
        <w:bidi w:val="0"/>
        <w:adjustRightInd/>
        <w:snapToGrid/>
        <w:spacing w:line="240" w:lineRule="auto"/>
        <w:ind w:firstLine="611" w:firstLineChars="200"/>
        <w:textAlignment w:val="auto"/>
        <w:rPr>
          <w:rFonts w:hint="eastAsia" w:ascii="仿宋" w:hAnsi="仿宋" w:eastAsia="仿宋" w:cs="仿宋"/>
          <w:color w:val="auto"/>
          <w:spacing w:val="-8"/>
          <w:kern w:val="2"/>
          <w:sz w:val="32"/>
          <w:szCs w:val="32"/>
          <w:highlight w:val="none"/>
          <w:lang w:val="en-US" w:eastAsia="zh-CN" w:bidi="ar-SA"/>
        </w:rPr>
      </w:pPr>
      <w:r>
        <w:rPr>
          <w:rFonts w:hint="eastAsia" w:ascii="仿宋" w:hAnsi="仿宋" w:eastAsia="仿宋" w:cs="仿宋"/>
          <w:b/>
          <w:bCs/>
          <w:color w:val="auto"/>
          <w:spacing w:val="-8"/>
          <w:sz w:val="32"/>
          <w:szCs w:val="32"/>
          <w:highlight w:val="none"/>
          <w:lang w:val="en-US" w:eastAsia="zh-CN"/>
        </w:rPr>
        <w:t>2.项目运作方式。</w:t>
      </w:r>
      <w:r>
        <w:rPr>
          <w:rFonts w:hint="eastAsia" w:ascii="仿宋" w:hAnsi="仿宋" w:eastAsia="仿宋" w:cs="仿宋"/>
          <w:b w:val="0"/>
          <w:bCs w:val="0"/>
          <w:color w:val="auto"/>
          <w:spacing w:val="-8"/>
          <w:sz w:val="32"/>
          <w:szCs w:val="32"/>
          <w:highlight w:val="none"/>
          <w:lang w:val="en-US" w:eastAsia="zh-CN"/>
        </w:rPr>
        <w:t>该项</w:t>
      </w:r>
      <w:r>
        <w:rPr>
          <w:rFonts w:hint="eastAsia" w:ascii="仿宋" w:hAnsi="仿宋" w:eastAsia="仿宋" w:cs="仿宋"/>
          <w:color w:val="auto"/>
          <w:spacing w:val="-8"/>
          <w:sz w:val="32"/>
          <w:szCs w:val="32"/>
          <w:highlight w:val="none"/>
          <w:lang w:val="en-US" w:eastAsia="zh-CN"/>
        </w:rPr>
        <w:t>目采用建设-运营-移交（BOT）运作</w:t>
      </w:r>
      <w:r>
        <w:rPr>
          <w:rFonts w:hint="eastAsia" w:ascii="仿宋" w:hAnsi="仿宋" w:eastAsia="仿宋" w:cs="仿宋"/>
          <w:color w:val="auto"/>
          <w:spacing w:val="-8"/>
          <w:kern w:val="2"/>
          <w:sz w:val="32"/>
          <w:szCs w:val="32"/>
          <w:highlight w:val="none"/>
          <w:lang w:val="en-US" w:eastAsia="zh-CN" w:bidi="ar-SA"/>
        </w:rPr>
        <w:t>方式，项目实施单位邵阳经开碧水源水务有限公司负责项目投融资、建设和项目交付使用后的运营，运营期</w:t>
      </w:r>
      <w:r>
        <w:rPr>
          <w:rFonts w:hint="eastAsia" w:ascii="仿宋" w:hAnsi="仿宋" w:eastAsia="仿宋" w:cs="仿宋"/>
          <w:color w:val="auto"/>
          <w:spacing w:val="-8"/>
          <w:sz w:val="32"/>
          <w:szCs w:val="32"/>
          <w:highlight w:val="none"/>
          <w:lang w:val="en-US" w:eastAsia="zh-CN"/>
        </w:rPr>
        <w:t>为30个运营年，从污水处理厂、废水处理厂竣工验收之日起算。</w:t>
      </w:r>
      <w:r>
        <w:rPr>
          <w:rFonts w:hint="eastAsia" w:ascii="仿宋" w:hAnsi="仿宋" w:eastAsia="仿宋" w:cs="仿宋"/>
          <w:color w:val="auto"/>
          <w:spacing w:val="-8"/>
          <w:kern w:val="2"/>
          <w:sz w:val="32"/>
          <w:szCs w:val="32"/>
          <w:highlight w:val="none"/>
          <w:lang w:val="en-US" w:eastAsia="zh-CN" w:bidi="ar-SA"/>
        </w:rPr>
        <w:t>邵阳经开碧水源水务有限公司于2017年5月16日成立，注册资本壹亿元整(股东已按占股比例、以货币出资实缴注册资本10,000.00万元)，其中：北京碧水源科技股份有限公司出资9,000.00万元（占股90%)、邵阳市宝庆工业新城建设投资开发有限公司出资1,000.00万元（占股10%），现有正式员工30人，劳务工2人。</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eastAsia" w:ascii="仿宋" w:hAnsi="仿宋" w:eastAsia="仿宋" w:cs="仿宋"/>
          <w:b w:val="0"/>
          <w:bCs w:val="0"/>
          <w:color w:val="auto"/>
          <w:spacing w:val="-8"/>
          <w:sz w:val="32"/>
          <w:szCs w:val="32"/>
          <w:highlight w:val="none"/>
          <w:lang w:val="en-US" w:eastAsia="zh-CN"/>
        </w:rPr>
      </w:pPr>
      <w:r>
        <w:rPr>
          <w:rFonts w:hint="eastAsia" w:ascii="仿宋" w:hAnsi="仿宋" w:eastAsia="仿宋" w:cs="仿宋"/>
          <w:b w:val="0"/>
          <w:bCs w:val="0"/>
          <w:color w:val="auto"/>
          <w:spacing w:val="-8"/>
          <w:sz w:val="32"/>
          <w:szCs w:val="32"/>
          <w:highlight w:val="none"/>
          <w:lang w:val="en-US" w:eastAsia="zh-CN"/>
        </w:rPr>
        <w:t>3.</w:t>
      </w:r>
      <w:r>
        <w:rPr>
          <w:rFonts w:hint="eastAsia" w:ascii="仿宋" w:hAnsi="仿宋" w:eastAsia="仿宋" w:cs="仿宋"/>
          <w:b/>
          <w:bCs/>
          <w:color w:val="auto"/>
          <w:spacing w:val="-8"/>
          <w:sz w:val="32"/>
          <w:szCs w:val="32"/>
          <w:highlight w:val="none"/>
          <w:lang w:val="en-US" w:eastAsia="zh-CN"/>
        </w:rPr>
        <w:t>项目回报机制</w:t>
      </w:r>
      <w:r>
        <w:rPr>
          <w:rFonts w:hint="eastAsia" w:ascii="仿宋" w:hAnsi="仿宋" w:eastAsia="仿宋" w:cs="仿宋"/>
          <w:b w:val="0"/>
          <w:bCs w:val="0"/>
          <w:color w:val="auto"/>
          <w:spacing w:val="-8"/>
          <w:sz w:val="32"/>
          <w:szCs w:val="32"/>
          <w:highlight w:val="none"/>
          <w:lang w:val="en-US" w:eastAsia="zh-CN"/>
        </w:rPr>
        <w:t>。该项目回报机制为“可行性缺口补助”，即项目的使用者付费不足以覆盖项目实施单位的投资和合理的投资利润时，缺口部分由政府支付。可行性缺口补助由可用性服务费和运维绩效服务费之和扣减实际收到的使用者付费组成。可用性服务费需根据项目实际总投资额来计算，由于项目未办理投资总额决算，暂无法计算出可用性服务费。可用性服务费计算公式如下：</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eastAsia" w:ascii="仿宋" w:hAnsi="仿宋" w:eastAsia="仿宋" w:cs="仿宋"/>
          <w:b w:val="0"/>
          <w:bCs w:val="0"/>
          <w:color w:val="auto"/>
          <w:spacing w:val="-6"/>
          <w:sz w:val="32"/>
          <w:szCs w:val="32"/>
          <w:highlight w:val="none"/>
          <w:vertAlign w:val="baseline"/>
          <w:lang w:val="en-US" w:eastAsia="zh-CN"/>
        </w:rPr>
      </w:pPr>
      <w:r>
        <w:rPr>
          <w:rFonts w:hint="eastAsia" w:ascii="仿宋" w:hAnsi="仿宋" w:eastAsia="仿宋" w:cs="仿宋"/>
          <w:b w:val="0"/>
          <w:bCs w:val="0"/>
          <w:color w:val="auto"/>
          <w:spacing w:val="-8"/>
          <w:sz w:val="32"/>
          <w:szCs w:val="32"/>
          <w:highlight w:val="none"/>
          <w:lang w:val="en-US" w:eastAsia="zh-CN"/>
        </w:rPr>
        <w:t>F</w:t>
      </w:r>
      <w:r>
        <w:rPr>
          <w:rFonts w:hint="eastAsia" w:ascii="仿宋" w:hAnsi="仿宋" w:eastAsia="仿宋" w:cs="仿宋"/>
          <w:b w:val="0"/>
          <w:bCs w:val="0"/>
          <w:color w:val="auto"/>
          <w:spacing w:val="-6"/>
          <w:sz w:val="32"/>
          <w:szCs w:val="32"/>
          <w:highlight w:val="none"/>
          <w:vertAlign w:val="subscript"/>
          <w:lang w:val="en-US" w:eastAsia="zh-CN"/>
        </w:rPr>
        <w:t>X</w:t>
      </w:r>
      <w:r>
        <w:rPr>
          <w:rFonts w:hint="eastAsia" w:ascii="仿宋" w:hAnsi="仿宋" w:eastAsia="仿宋" w:cs="仿宋"/>
          <w:b w:val="0"/>
          <w:bCs w:val="0"/>
          <w:color w:val="auto"/>
          <w:spacing w:val="-6"/>
          <w:sz w:val="32"/>
          <w:szCs w:val="32"/>
          <w:highlight w:val="none"/>
          <w:vertAlign w:val="baseline"/>
          <w:lang w:val="en-US" w:eastAsia="zh-CN"/>
        </w:rPr>
        <w:t>=A/N</w:t>
      </w:r>
      <w:r>
        <w:rPr>
          <w:rFonts w:hint="eastAsia" w:ascii="宋体" w:hAnsi="宋体" w:eastAsia="宋体" w:cs="宋体"/>
          <w:b w:val="0"/>
          <w:bCs w:val="0"/>
          <w:color w:val="auto"/>
          <w:spacing w:val="-6"/>
          <w:sz w:val="32"/>
          <w:szCs w:val="32"/>
          <w:highlight w:val="none"/>
          <w:vertAlign w:val="baseline"/>
          <w:lang w:val="en-US" w:eastAsia="zh-CN"/>
        </w:rPr>
        <w:t>＋</w:t>
      </w:r>
      <w:r>
        <w:rPr>
          <w:rFonts w:hint="eastAsia" w:ascii="仿宋" w:hAnsi="仿宋" w:eastAsia="仿宋" w:cs="仿宋"/>
          <w:b w:val="0"/>
          <w:bCs w:val="0"/>
          <w:color w:val="auto"/>
          <w:spacing w:val="-6"/>
          <w:sz w:val="32"/>
          <w:szCs w:val="32"/>
          <w:highlight w:val="none"/>
          <w:vertAlign w:val="baseline"/>
          <w:lang w:val="en-US" w:eastAsia="zh-CN"/>
        </w:rPr>
        <w:t>[A-(X-1)A/N]*i</w:t>
      </w:r>
    </w:p>
    <w:p>
      <w:pPr>
        <w:keepNext w:val="0"/>
        <w:keepLines w:val="0"/>
        <w:pageBreakBefore w:val="0"/>
        <w:widowControl w:val="0"/>
        <w:kinsoku/>
        <w:wordWrap/>
        <w:overflowPunct/>
        <w:topLinePunct w:val="0"/>
        <w:autoSpaceDE/>
        <w:autoSpaceDN/>
        <w:bidi w:val="0"/>
        <w:adjustRightInd/>
        <w:snapToGrid/>
        <w:spacing w:line="240" w:lineRule="auto"/>
        <w:ind w:firstLine="608" w:firstLineChars="200"/>
        <w:textAlignment w:val="auto"/>
        <w:rPr>
          <w:rFonts w:hint="default" w:ascii="仿宋" w:hAnsi="仿宋" w:eastAsia="仿宋" w:cs="仿宋"/>
          <w:b w:val="0"/>
          <w:bCs w:val="0"/>
          <w:color w:val="auto"/>
          <w:spacing w:val="-8"/>
          <w:sz w:val="32"/>
          <w:szCs w:val="32"/>
          <w:highlight w:val="none"/>
          <w:lang w:val="en-US" w:eastAsia="zh-CN"/>
        </w:rPr>
      </w:pPr>
      <w:r>
        <w:rPr>
          <w:rFonts w:hint="eastAsia" w:ascii="仿宋" w:hAnsi="仿宋" w:eastAsia="仿宋" w:cs="仿宋"/>
          <w:b w:val="0"/>
          <w:bCs w:val="0"/>
          <w:color w:val="auto"/>
          <w:spacing w:val="-8"/>
          <w:sz w:val="32"/>
          <w:szCs w:val="32"/>
          <w:highlight w:val="none"/>
          <w:lang w:val="en-US" w:eastAsia="zh-CN"/>
        </w:rPr>
        <w:t>其中：F</w:t>
      </w:r>
      <w:r>
        <w:rPr>
          <w:rFonts w:hint="eastAsia" w:ascii="仿宋" w:hAnsi="仿宋" w:eastAsia="仿宋" w:cs="仿宋"/>
          <w:b w:val="0"/>
          <w:bCs w:val="0"/>
          <w:color w:val="auto"/>
          <w:spacing w:val="-6"/>
          <w:sz w:val="32"/>
          <w:szCs w:val="32"/>
          <w:highlight w:val="none"/>
          <w:vertAlign w:val="subscript"/>
          <w:lang w:val="en-US" w:eastAsia="zh-CN"/>
        </w:rPr>
        <w:t>X</w:t>
      </w:r>
      <w:r>
        <w:rPr>
          <w:rFonts w:hint="eastAsia" w:ascii="仿宋" w:hAnsi="仿宋" w:eastAsia="仿宋" w:cs="仿宋"/>
          <w:b w:val="0"/>
          <w:bCs w:val="0"/>
          <w:color w:val="auto"/>
          <w:spacing w:val="-6"/>
          <w:sz w:val="32"/>
          <w:szCs w:val="32"/>
          <w:highlight w:val="none"/>
          <w:vertAlign w:val="baseline"/>
          <w:lang w:val="en-US" w:eastAsia="zh-CN"/>
        </w:rPr>
        <w:t>为各子项目运营年内第X年可用性服务费金额，X=（1，2</w:t>
      </w:r>
      <w:r>
        <w:rPr>
          <w:rFonts w:hint="eastAsia" w:ascii="微软雅黑" w:hAnsi="微软雅黑" w:eastAsia="微软雅黑" w:cs="微软雅黑"/>
          <w:b w:val="0"/>
          <w:bCs w:val="0"/>
          <w:color w:val="auto"/>
          <w:spacing w:val="-6"/>
          <w:sz w:val="32"/>
          <w:szCs w:val="32"/>
          <w:highlight w:val="none"/>
          <w:vertAlign w:val="baseline"/>
          <w:lang w:val="en-US" w:eastAsia="zh-CN"/>
        </w:rPr>
        <w:t>······</w:t>
      </w:r>
      <w:r>
        <w:rPr>
          <w:rFonts w:hint="eastAsia" w:ascii="仿宋" w:hAnsi="仿宋" w:eastAsia="仿宋" w:cs="仿宋"/>
          <w:b w:val="0"/>
          <w:bCs w:val="0"/>
          <w:color w:val="auto"/>
          <w:spacing w:val="-6"/>
          <w:sz w:val="32"/>
          <w:szCs w:val="32"/>
          <w:highlight w:val="none"/>
          <w:vertAlign w:val="baseline"/>
          <w:lang w:val="en-US" w:eastAsia="zh-CN"/>
        </w:rPr>
        <w:t>，各子项目运营年的第N年），X为变量；N为定量，指各子项目的运营年数；A=各子项目总投资；i为各子项目可用性服务费年合理利润率，即中标社会资本在投标文件中所报的比例，为6.99%。</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1"/>
        <w:rPr>
          <w:rFonts w:hint="default" w:ascii="楷体" w:hAnsi="楷体" w:eastAsia="楷体" w:cs="楷体"/>
          <w:b/>
          <w:bCs/>
          <w:color w:val="auto"/>
          <w:sz w:val="32"/>
          <w:szCs w:val="32"/>
          <w:highlight w:val="none"/>
          <w:lang w:val="en-US" w:eastAsia="zh-CN"/>
        </w:rPr>
      </w:pPr>
      <w:bookmarkStart w:id="10" w:name="_Toc7379"/>
      <w:r>
        <w:rPr>
          <w:rFonts w:hint="eastAsia" w:ascii="楷体" w:hAnsi="楷体" w:eastAsia="楷体" w:cs="楷体"/>
          <w:b/>
          <w:bCs/>
          <w:color w:val="auto"/>
          <w:sz w:val="32"/>
          <w:szCs w:val="32"/>
          <w:highlight w:val="none"/>
        </w:rPr>
        <w:t>（</w:t>
      </w:r>
      <w:r>
        <w:rPr>
          <w:rFonts w:hint="eastAsia" w:ascii="楷体" w:hAnsi="楷体" w:eastAsia="楷体" w:cs="楷体"/>
          <w:b/>
          <w:bCs/>
          <w:color w:val="auto"/>
          <w:sz w:val="32"/>
          <w:szCs w:val="32"/>
          <w:highlight w:val="none"/>
          <w:lang w:val="en-US" w:eastAsia="zh-CN"/>
        </w:rPr>
        <w:t>二</w:t>
      </w:r>
      <w:r>
        <w:rPr>
          <w:rFonts w:hint="eastAsia" w:ascii="楷体" w:hAnsi="楷体" w:eastAsia="楷体" w:cs="楷体"/>
          <w:b/>
          <w:bCs/>
          <w:color w:val="auto"/>
          <w:sz w:val="32"/>
          <w:szCs w:val="32"/>
          <w:highlight w:val="none"/>
        </w:rPr>
        <w:t>）</w:t>
      </w:r>
      <w:r>
        <w:rPr>
          <w:rFonts w:hint="eastAsia" w:ascii="楷体" w:hAnsi="楷体" w:eastAsia="楷体" w:cs="楷体"/>
          <w:b/>
          <w:bCs/>
          <w:color w:val="auto"/>
          <w:sz w:val="32"/>
          <w:szCs w:val="32"/>
          <w:highlight w:val="none"/>
          <w:lang w:val="en-US" w:eastAsia="zh-CN"/>
        </w:rPr>
        <w:t>资金管理情况</w:t>
      </w:r>
      <w:bookmarkEnd w:id="10"/>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2"/>
        <w:rPr>
          <w:rFonts w:hint="default" w:ascii="仿宋" w:hAnsi="仿宋" w:eastAsia="仿宋" w:cs="仿宋"/>
          <w:b/>
          <w:bCs/>
          <w:color w:val="auto"/>
          <w:kern w:val="2"/>
          <w:sz w:val="32"/>
          <w:szCs w:val="32"/>
          <w:highlight w:val="none"/>
          <w:lang w:val="en-US" w:eastAsia="zh-CN" w:bidi="ar-SA"/>
        </w:rPr>
      </w:pPr>
      <w:bookmarkStart w:id="11" w:name="_Toc14932"/>
      <w:r>
        <w:rPr>
          <w:rFonts w:hint="eastAsia" w:ascii="仿宋" w:hAnsi="仿宋" w:eastAsia="仿宋" w:cs="仿宋"/>
          <w:b/>
          <w:bCs/>
          <w:color w:val="auto"/>
          <w:kern w:val="2"/>
          <w:sz w:val="32"/>
          <w:szCs w:val="32"/>
          <w:highlight w:val="none"/>
          <w:lang w:val="en-US" w:eastAsia="zh-CN" w:bidi="ar-SA"/>
        </w:rPr>
        <w:t>1.资金来源情况</w:t>
      </w:r>
      <w:bookmarkEnd w:id="11"/>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资金来源为经开区财政预算安排资金，共计</w:t>
      </w:r>
      <w:r>
        <w:rPr>
          <w:rFonts w:hint="eastAsia" w:ascii="仿宋" w:hAnsi="仿宋" w:eastAsia="仿宋" w:cs="仿宋"/>
          <w:color w:val="auto"/>
          <w:kern w:val="2"/>
          <w:sz w:val="32"/>
          <w:szCs w:val="32"/>
          <w:highlight w:val="none"/>
          <w:lang w:val="en-US" w:eastAsia="zh-CN" w:bidi="ar-SA"/>
        </w:rPr>
        <w:t>5505.14万元</w:t>
      </w:r>
      <w:r>
        <w:rPr>
          <w:rFonts w:hint="eastAsia" w:ascii="仿宋" w:hAnsi="仿宋" w:eastAsia="仿宋" w:cs="仿宋"/>
          <w:b w:val="0"/>
          <w:bCs w:val="0"/>
          <w:color w:val="auto"/>
          <w:kern w:val="2"/>
          <w:sz w:val="32"/>
          <w:szCs w:val="32"/>
          <w:highlight w:val="none"/>
          <w:lang w:val="en-US" w:eastAsia="zh-CN" w:bidi="ar-SA"/>
        </w:rPr>
        <w:t>。</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2"/>
        <w:rPr>
          <w:rFonts w:hint="eastAsia" w:ascii="仿宋" w:hAnsi="仿宋" w:eastAsia="仿宋" w:cs="仿宋"/>
          <w:b/>
          <w:bCs/>
          <w:color w:val="auto"/>
          <w:kern w:val="2"/>
          <w:sz w:val="32"/>
          <w:szCs w:val="32"/>
          <w:highlight w:val="none"/>
          <w:lang w:val="en-US" w:eastAsia="zh-CN" w:bidi="ar-SA"/>
        </w:rPr>
      </w:pPr>
      <w:bookmarkStart w:id="12" w:name="_Toc32006"/>
      <w:r>
        <w:rPr>
          <w:rFonts w:hint="eastAsia" w:ascii="仿宋" w:hAnsi="仿宋" w:eastAsia="仿宋" w:cs="仿宋"/>
          <w:b/>
          <w:bCs/>
          <w:color w:val="auto"/>
          <w:kern w:val="2"/>
          <w:sz w:val="32"/>
          <w:szCs w:val="32"/>
          <w:highlight w:val="none"/>
          <w:lang w:val="en-US" w:eastAsia="zh-CN" w:bidi="ar-SA"/>
        </w:rPr>
        <w:t>2.</w:t>
      </w:r>
      <w:r>
        <w:rPr>
          <w:rFonts w:hint="eastAsia" w:ascii="仿宋" w:hAnsi="仿宋" w:eastAsia="仿宋" w:cs="仿宋"/>
          <w:b/>
          <w:bCs/>
          <w:color w:val="auto"/>
          <w:spacing w:val="-8"/>
          <w:sz w:val="32"/>
          <w:szCs w:val="32"/>
          <w:highlight w:val="none"/>
          <w:lang w:val="en-US" w:eastAsia="zh-CN"/>
        </w:rPr>
        <w:t>资</w:t>
      </w:r>
      <w:r>
        <w:rPr>
          <w:rFonts w:hint="eastAsia" w:ascii="仿宋" w:hAnsi="仿宋" w:eastAsia="仿宋" w:cs="仿宋"/>
          <w:b/>
          <w:bCs/>
          <w:color w:val="auto"/>
          <w:kern w:val="2"/>
          <w:sz w:val="32"/>
          <w:szCs w:val="32"/>
          <w:highlight w:val="none"/>
          <w:lang w:val="en-US" w:eastAsia="zh-CN" w:bidi="ar-SA"/>
        </w:rPr>
        <w:t>金到位及使用、管理情况</w:t>
      </w:r>
      <w:bookmarkEnd w:id="12"/>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资金到位情况：</w:t>
      </w:r>
      <w:r>
        <w:rPr>
          <w:rFonts w:hint="eastAsia" w:ascii="仿宋" w:hAnsi="仿宋" w:eastAsia="仿宋" w:cs="仿宋"/>
          <w:b w:val="0"/>
          <w:bCs w:val="0"/>
          <w:color w:val="auto"/>
          <w:kern w:val="2"/>
          <w:sz w:val="32"/>
          <w:szCs w:val="32"/>
          <w:highlight w:val="none"/>
          <w:lang w:val="en-US" w:eastAsia="zh-CN" w:bidi="ar-SA"/>
        </w:rPr>
        <w:t>污水处理费以每个运营季度（三个月）为周期进行核算支付，由邵阳经开碧水源水务有限公司在每个运营季度结束后十个工作日内，向经开区管委会提出付费申请。邵阳经开碧水源水务有限公司自2018年6月至2022年12月，</w:t>
      </w:r>
      <w:r>
        <w:rPr>
          <w:rFonts w:hint="eastAsia" w:ascii="仿宋" w:hAnsi="仿宋" w:eastAsia="仿宋" w:cs="仿宋"/>
          <w:color w:val="auto"/>
          <w:kern w:val="2"/>
          <w:sz w:val="32"/>
          <w:szCs w:val="32"/>
          <w:highlight w:val="none"/>
          <w:lang w:val="en-US" w:eastAsia="zh-CN" w:bidi="ar-SA"/>
        </w:rPr>
        <w:t>共收到经开区财政拨入污水处理费合计5505.14万元，其中：2018年600.00万元，2019年1200.00万元，2020年</w:t>
      </w:r>
      <w:r>
        <w:rPr>
          <w:rFonts w:hint="eastAsia" w:ascii="仿宋" w:hAnsi="仿宋" w:eastAsia="仿宋" w:cs="仿宋"/>
          <w:b w:val="0"/>
          <w:bCs w:val="0"/>
          <w:color w:val="auto"/>
          <w:kern w:val="2"/>
          <w:sz w:val="32"/>
          <w:szCs w:val="32"/>
          <w:highlight w:val="none"/>
          <w:lang w:val="en-US" w:eastAsia="zh-CN" w:bidi="ar-SA"/>
        </w:rPr>
        <w:t>1100.12万元，2021年1246.43万元，2022年1358.59万元。</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spacing w:val="-8"/>
          <w:sz w:val="32"/>
          <w:szCs w:val="32"/>
          <w:highlight w:val="none"/>
          <w:lang w:val="en-US" w:eastAsia="zh-CN"/>
        </w:rPr>
        <w:t>可用性服务费主要由项目实际总投资额计算</w:t>
      </w:r>
      <w:r>
        <w:rPr>
          <w:rFonts w:hint="eastAsia" w:ascii="仿宋" w:hAnsi="仿宋" w:eastAsia="仿宋" w:cs="仿宋"/>
          <w:b w:val="0"/>
          <w:bCs w:val="0"/>
          <w:color w:val="auto"/>
          <w:kern w:val="2"/>
          <w:sz w:val="32"/>
          <w:szCs w:val="32"/>
          <w:highlight w:val="none"/>
          <w:lang w:val="en-US" w:eastAsia="zh-CN" w:bidi="ar-SA"/>
        </w:rPr>
        <w:t>，由于项目未办理投资总额决算，暂无法计算出可用性服务费。为确保两厂运行期间正常运转，保证合理的费用开支，经开区管委会领导与邵阳经开碧水源水务有限公司多次商讨，决定签订PPP项目合同补充协议，协议拟定运维绩效服务费通过收取污水处理费的方式获得。为此，经开区管委会安排区财政局、区环保分局和下属平台公司对长沙经开区与浏阳经开区内的污水处理厂和类似专业废水处理厂进行考察学习，经管委会会议研究，决定按污水处理费1.29元/立方米、废水处理费8.57元/立方米标准结算污水处理费，待竣工结算及运行成本等文件经相关职能部门确定后，再重新进行测算调整并签订正式协议，补充协议同时废止。</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污水处理</w:t>
      </w:r>
      <w:r>
        <w:rPr>
          <w:rFonts w:hint="eastAsia" w:ascii="仿宋" w:hAnsi="仿宋" w:eastAsia="仿宋" w:cs="仿宋"/>
          <w:color w:val="auto"/>
          <w:kern w:val="2"/>
          <w:sz w:val="32"/>
          <w:szCs w:val="32"/>
          <w:highlight w:val="none"/>
          <w:lang w:val="en-US" w:eastAsia="zh-CN" w:bidi="ar-SA"/>
        </w:rPr>
        <w:t>具体计算过程如下：</w:t>
      </w:r>
    </w:p>
    <w:tbl>
      <w:tblPr>
        <w:tblStyle w:val="15"/>
        <w:tblW w:w="8965" w:type="dxa"/>
        <w:tblInd w:w="0" w:type="dxa"/>
        <w:shd w:val="clear" w:color="auto" w:fill="auto"/>
        <w:tblLayout w:type="autofit"/>
        <w:tblCellMar>
          <w:top w:w="0" w:type="dxa"/>
          <w:left w:w="0" w:type="dxa"/>
          <w:bottom w:w="0" w:type="dxa"/>
          <w:right w:w="0" w:type="dxa"/>
        </w:tblCellMar>
      </w:tblPr>
      <w:tblGrid>
        <w:gridCol w:w="1398"/>
        <w:gridCol w:w="1032"/>
        <w:gridCol w:w="2824"/>
        <w:gridCol w:w="492"/>
        <w:gridCol w:w="3219"/>
      </w:tblGrid>
      <w:tr>
        <w:tblPrEx>
          <w:shd w:val="clear" w:color="auto" w:fill="auto"/>
          <w:tblCellMar>
            <w:top w:w="0" w:type="dxa"/>
            <w:left w:w="0" w:type="dxa"/>
            <w:bottom w:w="0" w:type="dxa"/>
            <w:right w:w="0" w:type="dxa"/>
          </w:tblCellMar>
        </w:tblPrEx>
        <w:trPr>
          <w:trHeight w:val="348" w:hRule="atLeast"/>
          <w:tblHeader/>
        </w:trPr>
        <w:tc>
          <w:tcPr>
            <w:tcW w:w="139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所属期间</w:t>
            </w:r>
          </w:p>
        </w:tc>
        <w:tc>
          <w:tcPr>
            <w:tcW w:w="103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金额（万元)</w:t>
            </w:r>
          </w:p>
        </w:tc>
        <w:tc>
          <w:tcPr>
            <w:tcW w:w="282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计算公式组成</w:t>
            </w:r>
          </w:p>
        </w:tc>
        <w:tc>
          <w:tcPr>
            <w:tcW w:w="49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天数</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计算标准</w:t>
            </w:r>
          </w:p>
        </w:tc>
      </w:tr>
      <w:tr>
        <w:tblPrEx>
          <w:shd w:val="clear" w:color="auto" w:fill="auto"/>
          <w:tblCellMar>
            <w:top w:w="0" w:type="dxa"/>
            <w:left w:w="0" w:type="dxa"/>
            <w:bottom w:w="0" w:type="dxa"/>
            <w:right w:w="0" w:type="dxa"/>
          </w:tblCellMar>
        </w:tblPrEx>
        <w:trPr>
          <w:trHeight w:val="3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0"/>
                <w:sz w:val="16"/>
                <w:szCs w:val="16"/>
                <w:highlight w:val="none"/>
                <w:u w:val="none"/>
                <w:lang w:val="en-US" w:eastAsia="zh-CN" w:bidi="ar"/>
              </w:rPr>
            </w:pPr>
            <w:r>
              <w:rPr>
                <w:rFonts w:hint="eastAsia" w:ascii="宋体" w:hAnsi="宋体" w:eastAsia="宋体" w:cs="宋体"/>
                <w:i w:val="0"/>
                <w:color w:val="000000"/>
                <w:kern w:val="0"/>
                <w:sz w:val="16"/>
                <w:szCs w:val="16"/>
                <w:highlight w:val="none"/>
                <w:u w:val="none"/>
                <w:lang w:val="en-US" w:eastAsia="zh-CN" w:bidi="ar"/>
              </w:rPr>
              <w:t>2018年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0"/>
                <w:sz w:val="16"/>
                <w:szCs w:val="16"/>
                <w:highlight w:val="none"/>
                <w:u w:val="none"/>
                <w:lang w:val="en-US" w:eastAsia="zh-CN" w:bidi="ar"/>
              </w:rPr>
            </w:pPr>
            <w:r>
              <w:rPr>
                <w:rFonts w:hint="eastAsia" w:ascii="宋体" w:hAnsi="宋体" w:eastAsia="宋体" w:cs="宋体"/>
                <w:i w:val="0"/>
                <w:color w:val="000000"/>
                <w:kern w:val="0"/>
                <w:sz w:val="16"/>
                <w:szCs w:val="16"/>
                <w:highlight w:val="none"/>
                <w:u w:val="none"/>
                <w:lang w:val="en-US" w:eastAsia="zh-CN" w:bidi="ar"/>
              </w:rPr>
              <w:t>600.00</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宋体" w:hAnsi="宋体" w:eastAsia="宋体" w:cs="宋体"/>
                <w:i w:val="0"/>
                <w:color w:val="000000"/>
                <w:sz w:val="16"/>
                <w:szCs w:val="16"/>
                <w:highlight w:val="none"/>
                <w:u w:val="none"/>
                <w:lang w:val="en-US" w:eastAsia="zh-CN"/>
              </w:rPr>
            </w:pPr>
            <w:r>
              <w:rPr>
                <w:rFonts w:hint="eastAsia" w:ascii="宋体" w:hAnsi="宋体" w:eastAsia="宋体" w:cs="宋体"/>
                <w:i w:val="0"/>
                <w:color w:val="000000"/>
                <w:sz w:val="16"/>
                <w:szCs w:val="16"/>
                <w:highlight w:val="none"/>
                <w:u w:val="none"/>
                <w:lang w:val="en-US" w:eastAsia="zh-CN"/>
              </w:rPr>
              <w:t>253</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0"/>
                <w:sz w:val="16"/>
                <w:szCs w:val="16"/>
                <w:highlight w:val="none"/>
                <w:u w:val="none"/>
                <w:lang w:val="en-US" w:eastAsia="zh-CN" w:bidi="ar"/>
              </w:rPr>
            </w:pPr>
            <w:r>
              <w:rPr>
                <w:rFonts w:hint="eastAsia" w:ascii="宋体" w:hAnsi="宋体" w:eastAsia="宋体" w:cs="宋体"/>
                <w:i w:val="0"/>
                <w:color w:val="000000"/>
                <w:kern w:val="0"/>
                <w:sz w:val="16"/>
                <w:szCs w:val="16"/>
                <w:highlight w:val="none"/>
                <w:u w:val="none"/>
                <w:lang w:val="en-US" w:eastAsia="zh-CN" w:bidi="ar"/>
              </w:rPr>
              <w:t>运营天数按二个项目平均天数。支付第三、第四季度服务费600万元</w:t>
            </w:r>
          </w:p>
        </w:tc>
      </w:tr>
      <w:tr>
        <w:tblPrEx>
          <w:shd w:val="clear" w:color="auto" w:fill="auto"/>
          <w:tblCellMar>
            <w:top w:w="0" w:type="dxa"/>
            <w:left w:w="0" w:type="dxa"/>
            <w:bottom w:w="0" w:type="dxa"/>
            <w:right w:w="0" w:type="dxa"/>
          </w:tblCellMar>
        </w:tblPrEx>
        <w:trPr>
          <w:trHeight w:val="3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2019年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1,200.00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宋体" w:hAnsi="宋体" w:eastAsia="宋体" w:cs="宋体"/>
                <w:i w:val="0"/>
                <w:color w:val="000000"/>
                <w:sz w:val="16"/>
                <w:szCs w:val="16"/>
                <w:highlight w:val="none"/>
                <w:u w:val="none"/>
                <w:lang w:val="en-US" w:eastAsia="zh-CN"/>
              </w:rPr>
            </w:pPr>
            <w:r>
              <w:rPr>
                <w:rFonts w:hint="eastAsia" w:ascii="宋体" w:hAnsi="宋体" w:eastAsia="宋体" w:cs="宋体"/>
                <w:i w:val="0"/>
                <w:color w:val="000000"/>
                <w:sz w:val="16"/>
                <w:szCs w:val="16"/>
                <w:highlight w:val="none"/>
                <w:u w:val="none"/>
                <w:lang w:val="en-US" w:eastAsia="zh-CN"/>
              </w:rPr>
              <w:t>365</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未签订补充协议前按300万元/季度</w:t>
            </w:r>
          </w:p>
        </w:tc>
      </w:tr>
      <w:tr>
        <w:tblPrEx>
          <w:shd w:val="clear" w:color="auto" w:fill="auto"/>
          <w:tblCellMar>
            <w:top w:w="0" w:type="dxa"/>
            <w:left w:w="0" w:type="dxa"/>
            <w:bottom w:w="0" w:type="dxa"/>
            <w:right w:w="0" w:type="dxa"/>
          </w:tblCellMar>
        </w:tblPrEx>
        <w:trPr>
          <w:trHeight w:val="34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2020年一、二季度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273.53 </w:t>
            </w:r>
          </w:p>
        </w:tc>
        <w:tc>
          <w:tcPr>
            <w:tcW w:w="282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1.4*182*1.29+0.14*182*8.57</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182 </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sz w:val="16"/>
                <w:szCs w:val="16"/>
                <w:highlight w:val="none"/>
                <w:u w:val="none"/>
                <w:lang w:val="en-US"/>
              </w:rPr>
            </w:pPr>
            <w:r>
              <w:rPr>
                <w:rFonts w:hint="eastAsia" w:ascii="宋体" w:hAnsi="宋体" w:eastAsia="宋体" w:cs="宋体"/>
                <w:i w:val="0"/>
                <w:color w:val="000000"/>
                <w:kern w:val="0"/>
                <w:sz w:val="16"/>
                <w:szCs w:val="16"/>
                <w:highlight w:val="none"/>
                <w:u w:val="none"/>
                <w:lang w:val="en-US" w:eastAsia="zh-CN" w:bidi="ar"/>
              </w:rPr>
              <w:t>70%保底水量</w:t>
            </w:r>
          </w:p>
        </w:tc>
      </w:tr>
      <w:tr>
        <w:tblPrEx>
          <w:shd w:val="clear" w:color="auto" w:fill="auto"/>
          <w:tblCellMar>
            <w:top w:w="0" w:type="dxa"/>
            <w:left w:w="0" w:type="dxa"/>
            <w:bottom w:w="0" w:type="dxa"/>
            <w:right w:w="0" w:type="dxa"/>
          </w:tblCellMar>
        </w:tblPrEx>
        <w:trPr>
          <w:trHeight w:val="34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273.53 </w:t>
            </w:r>
          </w:p>
        </w:tc>
        <w:tc>
          <w:tcPr>
            <w:tcW w:w="2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70%保底水量</w:t>
            </w:r>
          </w:p>
        </w:tc>
      </w:tr>
      <w:tr>
        <w:tblPrEx>
          <w:shd w:val="clear" w:color="auto" w:fill="auto"/>
          <w:tblCellMar>
            <w:top w:w="0" w:type="dxa"/>
            <w:left w:w="0" w:type="dxa"/>
            <w:bottom w:w="0" w:type="dxa"/>
            <w:right w:w="0" w:type="dxa"/>
          </w:tblCellMar>
        </w:tblPrEx>
        <w:trPr>
          <w:trHeight w:val="38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2020年第三季度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276.53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1.4*92*1.29+0.14*92*8.57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92</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70%保底水量</w:t>
            </w:r>
          </w:p>
        </w:tc>
      </w:tr>
      <w:tr>
        <w:tblPrEx>
          <w:shd w:val="clear" w:color="auto" w:fill="auto"/>
          <w:tblCellMar>
            <w:top w:w="0" w:type="dxa"/>
            <w:left w:w="0" w:type="dxa"/>
            <w:bottom w:w="0" w:type="dxa"/>
            <w:right w:w="0" w:type="dxa"/>
          </w:tblCellMar>
        </w:tblPrEx>
        <w:trPr>
          <w:trHeight w:val="38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2020年第四季度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276.53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1.4*92*1.29+0.14*92*8.57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92</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70%保底水量</w:t>
            </w:r>
          </w:p>
        </w:tc>
      </w:tr>
      <w:tr>
        <w:tblPrEx>
          <w:shd w:val="clear" w:color="auto" w:fill="auto"/>
          <w:tblCellMar>
            <w:top w:w="0" w:type="dxa"/>
            <w:left w:w="0" w:type="dxa"/>
            <w:bottom w:w="0" w:type="dxa"/>
            <w:right w:w="0" w:type="dxa"/>
          </w:tblCellMar>
        </w:tblPrEx>
        <w:trPr>
          <w:trHeight w:val="38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2021年第一季度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270.52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1.4*90*1.29+0.14*90*8.57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90</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70%保底水量</w:t>
            </w:r>
          </w:p>
        </w:tc>
      </w:tr>
      <w:tr>
        <w:tblPrEx>
          <w:shd w:val="clear" w:color="auto" w:fill="auto"/>
          <w:tblCellMar>
            <w:top w:w="0" w:type="dxa"/>
            <w:left w:w="0" w:type="dxa"/>
            <w:bottom w:w="0" w:type="dxa"/>
            <w:right w:w="0" w:type="dxa"/>
          </w:tblCellMar>
        </w:tblPrEx>
        <w:trPr>
          <w:trHeight w:val="3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膜片更换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120.00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根据合同及相关批复意见</w:t>
            </w:r>
          </w:p>
        </w:tc>
      </w:tr>
      <w:tr>
        <w:tblPrEx>
          <w:shd w:val="clear" w:color="auto" w:fill="auto"/>
          <w:tblCellMar>
            <w:top w:w="0" w:type="dxa"/>
            <w:left w:w="0" w:type="dxa"/>
            <w:bottom w:w="0" w:type="dxa"/>
            <w:right w:w="0" w:type="dxa"/>
          </w:tblCellMar>
        </w:tblPrEx>
        <w:trPr>
          <w:trHeight w:val="38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2021年第二季度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273.53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1.4*91*1.29+0.14*91*8.57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91</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70%保底水量</w:t>
            </w:r>
          </w:p>
        </w:tc>
      </w:tr>
      <w:tr>
        <w:tblPrEx>
          <w:shd w:val="clear" w:color="auto" w:fill="auto"/>
          <w:tblCellMar>
            <w:top w:w="0" w:type="dxa"/>
            <w:left w:w="0" w:type="dxa"/>
            <w:bottom w:w="0" w:type="dxa"/>
            <w:right w:w="0" w:type="dxa"/>
          </w:tblCellMar>
        </w:tblPrEx>
        <w:trPr>
          <w:trHeight w:val="57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2021年第三季度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302.90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(1492387*1.29+1400*92*8.57)/10000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92</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进站路处理水量超保底水量，累计处理水量1492387吨</w:t>
            </w:r>
          </w:p>
        </w:tc>
      </w:tr>
      <w:tr>
        <w:tblPrEx>
          <w:shd w:val="clear" w:color="auto" w:fill="auto"/>
          <w:tblCellMar>
            <w:top w:w="0" w:type="dxa"/>
            <w:left w:w="0" w:type="dxa"/>
            <w:bottom w:w="0" w:type="dxa"/>
            <w:right w:w="0" w:type="dxa"/>
          </w:tblCellMar>
        </w:tblPrEx>
        <w:trPr>
          <w:trHeight w:val="57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2021年第四季度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279.48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(1310853*1.29+1400*92*8.57)/10000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92</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进站路处理水量超保底水量，累计处理水量1310853吨</w:t>
            </w:r>
          </w:p>
        </w:tc>
      </w:tr>
      <w:tr>
        <w:tblPrEx>
          <w:shd w:val="clear" w:color="auto" w:fill="auto"/>
          <w:tblCellMar>
            <w:top w:w="0" w:type="dxa"/>
            <w:left w:w="0" w:type="dxa"/>
            <w:bottom w:w="0" w:type="dxa"/>
            <w:right w:w="0" w:type="dxa"/>
          </w:tblCellMar>
        </w:tblPrEx>
        <w:trPr>
          <w:trHeight w:val="3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膜片更换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209.00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根据合同及相关批复意见</w:t>
            </w:r>
          </w:p>
        </w:tc>
      </w:tr>
      <w:tr>
        <w:tblPrEx>
          <w:shd w:val="clear" w:color="auto" w:fill="auto"/>
          <w:tblCellMar>
            <w:top w:w="0" w:type="dxa"/>
            <w:left w:w="0" w:type="dxa"/>
            <w:bottom w:w="0" w:type="dxa"/>
            <w:right w:w="0" w:type="dxa"/>
          </w:tblCellMar>
        </w:tblPrEx>
        <w:trPr>
          <w:trHeight w:val="57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2022年第一季度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287.01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(1387776*1.29+1400*90*8.57)/10000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90</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进站路处理水量超保底水量，累计处理水量1387776吨</w:t>
            </w:r>
          </w:p>
        </w:tc>
      </w:tr>
      <w:tr>
        <w:tblPrEx>
          <w:shd w:val="clear" w:color="auto" w:fill="auto"/>
          <w:tblCellMar>
            <w:top w:w="0" w:type="dxa"/>
            <w:left w:w="0" w:type="dxa"/>
            <w:bottom w:w="0" w:type="dxa"/>
            <w:right w:w="0" w:type="dxa"/>
          </w:tblCellMar>
        </w:tblPrEx>
        <w:trPr>
          <w:trHeight w:val="57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2022年第二季度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309.52</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(1552950*1.29+1400*91*8.57)/10000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91</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进站路处理水量超保底水量，累计处理水量1552950吨</w:t>
            </w:r>
          </w:p>
        </w:tc>
      </w:tr>
      <w:tr>
        <w:tblPrEx>
          <w:shd w:val="clear" w:color="auto" w:fill="auto"/>
          <w:tblCellMar>
            <w:top w:w="0" w:type="dxa"/>
            <w:left w:w="0" w:type="dxa"/>
            <w:bottom w:w="0" w:type="dxa"/>
            <w:right w:w="0" w:type="dxa"/>
          </w:tblCellMar>
        </w:tblPrEx>
        <w:trPr>
          <w:trHeight w:val="38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2022年第三季度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276.53 </w:t>
            </w:r>
          </w:p>
        </w:tc>
        <w:tc>
          <w:tcPr>
            <w:tcW w:w="28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1.4*92*1.29+0.14*92*8.57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92</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70%保底水量</w:t>
            </w:r>
          </w:p>
        </w:tc>
      </w:tr>
      <w:tr>
        <w:tblPrEx>
          <w:shd w:val="clear" w:color="auto" w:fill="auto"/>
          <w:tblCellMar>
            <w:top w:w="0" w:type="dxa"/>
            <w:left w:w="0" w:type="dxa"/>
            <w:bottom w:w="0" w:type="dxa"/>
            <w:right w:w="0" w:type="dxa"/>
          </w:tblCellMar>
        </w:tblPrEx>
        <w:trPr>
          <w:trHeight w:val="3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16"/>
                <w:szCs w:val="16"/>
                <w:highlight w:val="none"/>
                <w:u w:val="none"/>
                <w:lang w:val="en-US" w:eastAsia="zh-CN" w:bidi="ar"/>
              </w:rPr>
            </w:pPr>
            <w:r>
              <w:rPr>
                <w:rFonts w:hint="eastAsia" w:ascii="宋体" w:hAnsi="宋体" w:eastAsia="宋体" w:cs="宋体"/>
                <w:i w:val="0"/>
                <w:color w:val="000000"/>
                <w:kern w:val="0"/>
                <w:sz w:val="16"/>
                <w:szCs w:val="16"/>
                <w:highlight w:val="none"/>
                <w:u w:val="none"/>
                <w:lang w:val="en-US" w:eastAsia="zh-CN" w:bidi="ar"/>
              </w:rPr>
              <w:t>2022年第4季度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宋体" w:hAnsi="宋体" w:eastAsia="宋体" w:cs="宋体"/>
                <w:i w:val="0"/>
                <w:color w:val="000000"/>
                <w:kern w:val="0"/>
                <w:sz w:val="16"/>
                <w:szCs w:val="16"/>
                <w:highlight w:val="none"/>
                <w:u w:val="none"/>
                <w:lang w:val="en-US" w:eastAsia="zh-CN" w:bidi="ar"/>
              </w:rPr>
            </w:pPr>
            <w:r>
              <w:rPr>
                <w:rFonts w:hint="eastAsia" w:ascii="宋体" w:hAnsi="宋体" w:eastAsia="宋体" w:cs="宋体"/>
                <w:i w:val="0"/>
                <w:color w:val="000000"/>
                <w:kern w:val="0"/>
                <w:sz w:val="16"/>
                <w:szCs w:val="16"/>
                <w:highlight w:val="none"/>
                <w:u w:val="none"/>
                <w:lang w:val="en-US" w:eastAsia="zh-CN" w:bidi="ar"/>
              </w:rPr>
              <w:t>276.53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1.4*92*1.29+0.14*92*8.57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宋体" w:hAnsi="宋体" w:eastAsia="宋体" w:cs="宋体"/>
                <w:i w:val="0"/>
                <w:color w:val="000000"/>
                <w:sz w:val="16"/>
                <w:szCs w:val="16"/>
                <w:highlight w:val="none"/>
                <w:u w:val="none"/>
                <w:lang w:val="en-US" w:eastAsia="zh-CN"/>
              </w:rPr>
            </w:pPr>
            <w:r>
              <w:rPr>
                <w:rFonts w:hint="eastAsia" w:ascii="宋体" w:hAnsi="宋体" w:eastAsia="宋体" w:cs="宋体"/>
                <w:i w:val="0"/>
                <w:color w:val="000000"/>
                <w:sz w:val="16"/>
                <w:szCs w:val="16"/>
                <w:highlight w:val="none"/>
                <w:u w:val="none"/>
                <w:lang w:val="en-US" w:eastAsia="zh-CN"/>
              </w:rPr>
              <w:t>92</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70%保底水量</w:t>
            </w:r>
          </w:p>
        </w:tc>
      </w:tr>
      <w:tr>
        <w:tblPrEx>
          <w:shd w:val="clear" w:color="auto" w:fill="auto"/>
          <w:tblCellMar>
            <w:top w:w="0" w:type="dxa"/>
            <w:left w:w="0" w:type="dxa"/>
            <w:bottom w:w="0" w:type="dxa"/>
            <w:right w:w="0" w:type="dxa"/>
          </w:tblCellMar>
        </w:tblPrEx>
        <w:trPr>
          <w:trHeight w:val="3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sz w:val="16"/>
                <w:szCs w:val="16"/>
                <w:highlight w:val="none"/>
                <w:u w:val="none"/>
              </w:rPr>
            </w:pPr>
            <w:r>
              <w:rPr>
                <w:rFonts w:hint="eastAsia" w:ascii="宋体" w:hAnsi="宋体" w:eastAsia="宋体" w:cs="宋体"/>
                <w:i w:val="0"/>
                <w:color w:val="000000"/>
                <w:kern w:val="0"/>
                <w:sz w:val="16"/>
                <w:szCs w:val="16"/>
                <w:highlight w:val="none"/>
                <w:u w:val="none"/>
                <w:lang w:val="en-US" w:eastAsia="zh-CN" w:bidi="ar"/>
              </w:rPr>
              <w:t xml:space="preserve">5,505.14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default" w:ascii="宋体" w:hAnsi="宋体" w:eastAsia="宋体" w:cs="宋体"/>
                <w:i w:val="0"/>
                <w:color w:val="000000"/>
                <w:sz w:val="16"/>
                <w:szCs w:val="16"/>
                <w:highlight w:val="none"/>
                <w:u w:val="none"/>
                <w:lang w:val="en-US" w:eastAsia="zh-CN"/>
              </w:rPr>
            </w:pPr>
            <w:r>
              <w:rPr>
                <w:rFonts w:hint="eastAsia" w:ascii="宋体" w:hAnsi="宋体" w:eastAsia="宋体" w:cs="宋体"/>
                <w:i w:val="0"/>
                <w:color w:val="000000"/>
                <w:sz w:val="16"/>
                <w:szCs w:val="16"/>
                <w:highlight w:val="none"/>
                <w:u w:val="none"/>
                <w:lang w:val="en-US" w:eastAsia="zh-CN"/>
              </w:rPr>
              <w:t>1714</w:t>
            </w:r>
          </w:p>
        </w:tc>
        <w:tc>
          <w:tcPr>
            <w:tcW w:w="321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color w:val="000000"/>
                <w:sz w:val="16"/>
                <w:szCs w:val="16"/>
                <w:highlight w:val="none"/>
                <w:u w:val="none"/>
              </w:rPr>
            </w:pPr>
          </w:p>
        </w:tc>
      </w:tr>
    </w:tbl>
    <w:p>
      <w:pPr>
        <w:pStyle w:val="14"/>
        <w:keepNext w:val="0"/>
        <w:keepLines w:val="0"/>
        <w:pageBreakBefore w:val="0"/>
        <w:widowControl w:val="0"/>
        <w:kinsoku/>
        <w:wordWrap/>
        <w:overflowPunct/>
        <w:topLinePunct w:val="0"/>
        <w:autoSpaceDE/>
        <w:autoSpaceDN/>
        <w:bidi w:val="0"/>
        <w:adjustRightInd/>
        <w:snapToGrid/>
        <w:spacing w:beforeLines="0" w:afterLines="0" w:line="240" w:lineRule="exact"/>
        <w:ind w:left="0" w:leftChars="0"/>
        <w:textAlignment w:val="auto"/>
        <w:rPr>
          <w:rFonts w:hint="eastAsia" w:ascii="仿宋" w:hAnsi="仿宋" w:eastAsia="仿宋" w:cs="仿宋"/>
          <w:b w:val="0"/>
          <w:bCs w:val="0"/>
          <w:color w:val="auto"/>
          <w:kern w:val="2"/>
          <w:sz w:val="32"/>
          <w:szCs w:val="32"/>
          <w:highlight w:val="none"/>
          <w:lang w:val="en-US" w:eastAsia="zh-CN" w:bidi="ar-SA"/>
        </w:rPr>
      </w:pP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资金使用管理情况：</w:t>
      </w:r>
      <w:r>
        <w:rPr>
          <w:rFonts w:hint="eastAsia" w:ascii="仿宋" w:hAnsi="仿宋" w:eastAsia="仿宋" w:cs="仿宋"/>
          <w:color w:val="auto"/>
          <w:kern w:val="2"/>
          <w:sz w:val="32"/>
          <w:szCs w:val="32"/>
          <w:highlight w:val="none"/>
          <w:lang w:val="en-US" w:eastAsia="zh-CN" w:bidi="ar-SA"/>
        </w:rPr>
        <w:t>邵阳经开碧水源水务有限公司</w:t>
      </w:r>
      <w:r>
        <w:rPr>
          <w:rFonts w:hint="eastAsia" w:ascii="仿宋" w:hAnsi="仿宋" w:eastAsia="仿宋" w:cs="仿宋"/>
          <w:b w:val="0"/>
          <w:bCs w:val="0"/>
          <w:color w:val="auto"/>
          <w:kern w:val="2"/>
          <w:sz w:val="32"/>
          <w:szCs w:val="32"/>
          <w:highlight w:val="none"/>
          <w:lang w:val="en-US" w:eastAsia="zh-CN" w:bidi="ar-SA"/>
        </w:rPr>
        <w:t>取得的污水处理费收入5505.14万元用于外购动力费、工资及福利费、日常修理维护费、固定资产采购、技改大修、药剂费、污泥处置费、安全生产费、检测校验费、融资利息、管理费用、税金等支出。公司制定了财务管理制度、资金管理制度等，资金使用、拨付有完整的审批签字手续，报账支出单据准确、及时，会计核算资料完整。会计师事务所审计了公司编制各年年度财务会计报表，出具了无保留意见的审计报告。</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13" w:name="_Toc20485"/>
      <w:r>
        <w:rPr>
          <w:rFonts w:hint="eastAsia" w:ascii="楷体" w:hAnsi="楷体" w:eastAsia="楷体" w:cs="楷体"/>
          <w:b/>
          <w:bCs/>
          <w:color w:val="auto"/>
          <w:sz w:val="32"/>
          <w:szCs w:val="32"/>
          <w:highlight w:val="none"/>
          <w:lang w:val="en-US" w:eastAsia="zh-CN"/>
        </w:rPr>
        <w:t>（三）项目运营期组织管理情况</w:t>
      </w:r>
      <w:bookmarkEnd w:id="13"/>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为保证出水水质达标，邵阳经开碧水源水务有限公司制定了严格的规章管理制度，规范关键业务流程管控，加强制度执行力度，做好日常检查监督管理，情况如下：</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水质检测方面，为加强对污染源自动监控系统的监管，提高环境管理科学化、信息化水平，根据《污染源自动监控系统管理办法》（国家环保总局令第28号）及《污染源自动监控设施运行管理办法》（环发〔2008〕第6号）等法律法规和技术规范，邵阳经开碧水源水务有限公司委托专业的环保技术公司对污水（废水）在线监测系统进行运行、维护、保养等，自动监控设备每2个小时检测一次，每天保证12个测试数据，PH和流量按规范要求实时获得监测值，每天24小时按时接收到准确的监测数据，接受环保部门的检查、监督。每月取样送检一次，由第三方检测机构检测并出具检测报告。</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制度建设和执行方面，邵阳经开碧水源水务有限公司制定了本单位的各项生产管理制度、安全责任制度、设备定期维护管理规定、巡检制度、仓库制度、化验管理、危险品管理办法、奖惩制度等，安全负责人有相应的培训证书，安全生产器具配备齐全、应急预案完善，每季度有计划的进行员工安全生产培训工作。每年对污水（废水）处理厂主要设备进行4次维护保养，设备完好率98.6%。</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1"/>
        <w:rPr>
          <w:rFonts w:hint="eastAsia" w:ascii="楷体" w:hAnsi="楷体" w:eastAsia="楷体" w:cs="楷体"/>
          <w:b/>
          <w:bCs/>
          <w:color w:val="auto"/>
          <w:kern w:val="2"/>
          <w:sz w:val="32"/>
          <w:szCs w:val="32"/>
          <w:highlight w:val="none"/>
          <w:lang w:val="en-US" w:eastAsia="zh-CN" w:bidi="ar-SA"/>
        </w:rPr>
      </w:pPr>
      <w:bookmarkStart w:id="14" w:name="_Toc32693"/>
      <w:r>
        <w:rPr>
          <w:rFonts w:hint="eastAsia" w:ascii="楷体" w:hAnsi="楷体" w:eastAsia="楷体" w:cs="楷体"/>
          <w:b/>
          <w:bCs/>
          <w:color w:val="auto"/>
          <w:kern w:val="2"/>
          <w:sz w:val="32"/>
          <w:szCs w:val="32"/>
          <w:highlight w:val="none"/>
          <w:lang w:val="en-US" w:eastAsia="zh-CN" w:bidi="ar-SA"/>
        </w:rPr>
        <w:t>（三）预算支出绩效目标完成程度</w:t>
      </w:r>
      <w:bookmarkEnd w:id="14"/>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b w:val="0"/>
          <w:bCs w:val="0"/>
          <w:color w:val="auto"/>
          <w:kern w:val="2"/>
          <w:sz w:val="32"/>
          <w:szCs w:val="32"/>
          <w:highlight w:val="none"/>
          <w:lang w:val="en-US" w:eastAsia="zh-CN" w:bidi="ar-SA"/>
        </w:rPr>
      </w:pPr>
      <w:r>
        <w:rPr>
          <w:rFonts w:hint="eastAsia" w:ascii="仿宋" w:hAnsi="仿宋" w:eastAsia="仿宋" w:cs="仿宋"/>
          <w:b w:val="0"/>
          <w:bCs w:val="0"/>
          <w:color w:val="auto"/>
          <w:kern w:val="2"/>
          <w:sz w:val="32"/>
          <w:szCs w:val="32"/>
          <w:highlight w:val="none"/>
          <w:lang w:val="en-US" w:eastAsia="zh-CN" w:bidi="ar-SA"/>
        </w:rPr>
        <w:t>项目实施单位未专门设置绩效目标，本次绩效评价参照《实施方案》、PPP项目合同、污水（废水）排放国家标准和项目实施单位生产管理制度等相关要求，归纳为以下运营期主要绩效指标：</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1.绩效总体目标。</w:t>
      </w:r>
      <w:r>
        <w:rPr>
          <w:rFonts w:hint="eastAsia" w:ascii="仿宋" w:hAnsi="仿宋" w:eastAsia="仿宋" w:cs="仿宋"/>
          <w:color w:val="auto"/>
          <w:kern w:val="2"/>
          <w:sz w:val="32"/>
          <w:szCs w:val="32"/>
          <w:highlight w:val="none"/>
          <w:lang w:val="en-US" w:eastAsia="zh-CN" w:bidi="ar-SA"/>
        </w:rPr>
        <w:t>确保进站路污水处理厂、发制品产业园废水处理厂正常运行；发制品产业园区废水处理厂、进站路污水处理厂处理工艺均采用A2/O+MBR，处理后出水采用紫外线或药剂消毒，确保污水处理厂出水水质达到《城镇污水处理厂污染物排放标准》（GB18918-2002）一级A标准，废水处理厂出水水质达到《污水综合排放标准》（GB8978-1996）一级标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2.年度目标。</w:t>
      </w:r>
      <w:r>
        <w:rPr>
          <w:rFonts w:hint="eastAsia" w:ascii="仿宋" w:hAnsi="仿宋" w:eastAsia="仿宋" w:cs="仿宋"/>
          <w:color w:val="auto"/>
          <w:kern w:val="2"/>
          <w:sz w:val="32"/>
          <w:szCs w:val="32"/>
          <w:highlight w:val="none"/>
          <w:lang w:val="en-US" w:eastAsia="zh-CN" w:bidi="ar-SA"/>
        </w:rPr>
        <w:t>做好服务区域范围内的生活污水和工业废水处理工作，全年无安全生产事故，与周边社区和谐相处，出水水质合格率达到 100%，改善水体水质，改善饮用水水源，改善经济发展环境。</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3.项目产出情况</w:t>
      </w:r>
      <w:r>
        <w:rPr>
          <w:rFonts w:hint="eastAsia" w:ascii="仿宋" w:hAnsi="仿宋" w:eastAsia="仿宋" w:cs="仿宋"/>
          <w:color w:val="auto"/>
          <w:kern w:val="2"/>
          <w:sz w:val="32"/>
          <w:szCs w:val="32"/>
          <w:highlight w:val="none"/>
          <w:lang w:val="en-US" w:eastAsia="zh-CN" w:bidi="ar-SA"/>
        </w:rPr>
        <w:t>。2018年6月至2022年12月，</w:t>
      </w:r>
      <w:r>
        <w:rPr>
          <w:rFonts w:hint="default" w:ascii="仿宋" w:hAnsi="仿宋" w:eastAsia="仿宋" w:cs="仿宋"/>
          <w:color w:val="auto"/>
          <w:kern w:val="2"/>
          <w:sz w:val="32"/>
          <w:szCs w:val="32"/>
          <w:highlight w:val="none"/>
          <w:lang w:val="en-US" w:eastAsia="zh-CN" w:bidi="ar-SA"/>
        </w:rPr>
        <w:t>①进站路污水处理</w:t>
      </w:r>
      <w:r>
        <w:rPr>
          <w:rFonts w:hint="eastAsia" w:ascii="仿宋" w:hAnsi="仿宋" w:eastAsia="仿宋" w:cs="仿宋"/>
          <w:color w:val="auto"/>
          <w:kern w:val="2"/>
          <w:sz w:val="32"/>
          <w:szCs w:val="32"/>
          <w:highlight w:val="none"/>
          <w:lang w:val="en-US" w:eastAsia="zh-CN" w:bidi="ar-SA"/>
        </w:rPr>
        <w:t>厂运行服务天数1674天，水质达标率100%，实际污水处理量14748980立方米，平均8811立方米/日，平均运行负荷率44.1%，完成及时率100%，污泥控制出厂含水量低于80%，单位运营成本2.09元/立方米，单位电耗0.33元/立方米；②发制品产业园废水</w:t>
      </w:r>
      <w:r>
        <w:rPr>
          <w:rFonts w:hint="default" w:ascii="仿宋" w:hAnsi="仿宋" w:eastAsia="仿宋" w:cs="仿宋"/>
          <w:color w:val="auto"/>
          <w:kern w:val="2"/>
          <w:sz w:val="32"/>
          <w:szCs w:val="32"/>
          <w:highlight w:val="none"/>
          <w:lang w:val="en-US" w:eastAsia="zh-CN" w:bidi="ar-SA"/>
        </w:rPr>
        <w:t>处理</w:t>
      </w:r>
      <w:r>
        <w:rPr>
          <w:rFonts w:hint="eastAsia" w:ascii="仿宋" w:hAnsi="仿宋" w:eastAsia="仿宋" w:cs="仿宋"/>
          <w:color w:val="auto"/>
          <w:kern w:val="2"/>
          <w:sz w:val="32"/>
          <w:szCs w:val="32"/>
          <w:highlight w:val="none"/>
          <w:lang w:val="en-US" w:eastAsia="zh-CN" w:bidi="ar-SA"/>
        </w:rPr>
        <w:t>厂运行服务天数1752天(2018年3月15日起算），水质达标率100%，实际污水处理量1071029立方米，平均611立方米/日，平均负荷率30.6%，完成及时率100%，污泥控制出厂含水量低于80%，单位运营成本18.25元/立方米，单位电耗2.02元/立方米。目前二个子项目污水、废水处理运行负荷率偏低，未达到设计要求；单位运营成本偏高，超过补充协议价格。</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0"/>
        <w:rPr>
          <w:rFonts w:hint="eastAsia" w:ascii="黑体" w:hAnsi="黑体" w:eastAsia="黑体" w:cs="黑体"/>
          <w:b w:val="0"/>
          <w:bCs w:val="0"/>
          <w:color w:val="auto"/>
          <w:kern w:val="2"/>
          <w:sz w:val="32"/>
          <w:szCs w:val="32"/>
          <w:highlight w:val="none"/>
          <w:lang w:val="en-US" w:eastAsia="zh-CN" w:bidi="ar-SA"/>
        </w:rPr>
      </w:pPr>
      <w:bookmarkStart w:id="15" w:name="_Toc18635"/>
      <w:r>
        <w:rPr>
          <w:rFonts w:hint="eastAsia" w:ascii="黑体" w:hAnsi="黑体" w:eastAsia="黑体" w:cs="黑体"/>
          <w:b w:val="0"/>
          <w:bCs w:val="0"/>
          <w:color w:val="auto"/>
          <w:kern w:val="2"/>
          <w:sz w:val="32"/>
          <w:szCs w:val="32"/>
          <w:highlight w:val="none"/>
          <w:lang w:val="en-US" w:eastAsia="zh-CN" w:bidi="ar-SA"/>
        </w:rPr>
        <w:t>二、绩效评价工作情况</w:t>
      </w:r>
      <w:bookmarkEnd w:id="15"/>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1"/>
        <w:rPr>
          <w:rFonts w:hint="eastAsia" w:ascii="楷体" w:hAnsi="楷体" w:eastAsia="楷体" w:cs="楷体"/>
          <w:b/>
          <w:bCs/>
          <w:color w:val="auto"/>
          <w:kern w:val="2"/>
          <w:sz w:val="32"/>
          <w:szCs w:val="32"/>
          <w:highlight w:val="none"/>
          <w:lang w:val="en-US" w:eastAsia="zh-CN" w:bidi="ar-SA"/>
        </w:rPr>
      </w:pPr>
      <w:bookmarkStart w:id="16" w:name="_Toc11917"/>
      <w:r>
        <w:rPr>
          <w:rFonts w:hint="eastAsia" w:ascii="楷体" w:hAnsi="楷体" w:eastAsia="楷体" w:cs="楷体"/>
          <w:b/>
          <w:bCs/>
          <w:color w:val="auto"/>
          <w:kern w:val="2"/>
          <w:sz w:val="32"/>
          <w:szCs w:val="32"/>
          <w:highlight w:val="none"/>
          <w:lang w:val="en-US" w:eastAsia="zh-CN" w:bidi="ar-SA"/>
        </w:rPr>
        <w:t>（一）绩效评价目的</w:t>
      </w:r>
      <w:bookmarkEnd w:id="16"/>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通过全面分析和综合评价专项资金的使用情况，了解项目的单项、申报、审批、组织实施及运营情况，为进一步管理和使用好建设资金、提高资金使用效益和项目管理水平提出合理建议，总结项目管理经验，发现资金管理及项目实施管理存在的问题，为以后资金管理提供参考依据。</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1"/>
        <w:rPr>
          <w:rFonts w:hint="eastAsia" w:ascii="楷体" w:hAnsi="楷体" w:eastAsia="楷体" w:cs="楷体"/>
          <w:b/>
          <w:bCs/>
          <w:color w:val="auto"/>
          <w:kern w:val="2"/>
          <w:sz w:val="32"/>
          <w:szCs w:val="32"/>
          <w:highlight w:val="none"/>
          <w:lang w:val="en-US" w:eastAsia="zh-CN" w:bidi="ar-SA"/>
        </w:rPr>
      </w:pPr>
      <w:bookmarkStart w:id="17" w:name="_Toc7655"/>
      <w:r>
        <w:rPr>
          <w:rFonts w:hint="eastAsia" w:ascii="楷体" w:hAnsi="楷体" w:eastAsia="楷体" w:cs="楷体"/>
          <w:b/>
          <w:bCs/>
          <w:color w:val="auto"/>
          <w:kern w:val="2"/>
          <w:sz w:val="32"/>
          <w:szCs w:val="32"/>
          <w:highlight w:val="none"/>
          <w:lang w:val="en-US" w:eastAsia="zh-CN" w:bidi="ar-SA"/>
        </w:rPr>
        <w:t>（二）绩效评价对象、范围与时段</w:t>
      </w:r>
      <w:bookmarkEnd w:id="17"/>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绩效评价对象为邵阳宝庆工业集中区水务PPP项目污水处理费5505.14万元，评价范围为邵阳经开碧水源水务有限公司运营的进站路污水处理厂和发制品产业园废水处理厂两个子项目，评价时段为2018年6月-2022年12月项目运营期。</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outlineLvl w:val="1"/>
        <w:rPr>
          <w:rFonts w:hint="eastAsia" w:ascii="楷体" w:hAnsi="楷体" w:eastAsia="楷体" w:cs="楷体"/>
          <w:b/>
          <w:bCs/>
          <w:color w:val="auto"/>
          <w:kern w:val="2"/>
          <w:sz w:val="32"/>
          <w:szCs w:val="32"/>
          <w:highlight w:val="none"/>
          <w:lang w:val="en-US" w:eastAsia="zh-CN" w:bidi="ar-SA"/>
        </w:rPr>
      </w:pPr>
      <w:bookmarkStart w:id="18" w:name="_Toc745"/>
      <w:r>
        <w:rPr>
          <w:rFonts w:hint="eastAsia" w:ascii="楷体" w:hAnsi="楷体" w:eastAsia="楷体" w:cs="楷体"/>
          <w:b/>
          <w:bCs/>
          <w:color w:val="auto"/>
          <w:kern w:val="2"/>
          <w:sz w:val="32"/>
          <w:szCs w:val="32"/>
          <w:highlight w:val="none"/>
          <w:lang w:val="en-US" w:eastAsia="zh-CN" w:bidi="ar-SA"/>
        </w:rPr>
        <w:t>（三）绩效评价依据</w:t>
      </w:r>
      <w:bookmarkEnd w:id="18"/>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1.预算绩效管理相关文件。主要包括《中共中央 国务院关于全面实施预算绩效管理的意见》（中发〔2018〕34号）、财政部《项目支出绩效评价管理办法》（财预〔2020〕10号）、《中共湖南省委办公厅 湖南省人民政府办公厅关于全面实施预算绩效管理的实施意见》（湘办发〔2019〕10号）、《湖南省人民政府办公厅关于进一步规范财政管理硬化预算约束的通知》（湘政办发〔2020〕12号）、《湖南省预算支出绩效评价管理办法》（湘财绩〔2020〕7号）等相关文件规定。</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2.PPP项目绩效管理文件。财政部 关于印发《政府和社会资本合作(PPP)项目绩效管理操作指引》的通知（财金〔2020〕13号）</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楷体" w:hAnsi="楷体" w:eastAsia="楷体" w:cs="楷体"/>
          <w:b/>
          <w:bCs/>
          <w:color w:val="auto"/>
          <w:kern w:val="2"/>
          <w:sz w:val="32"/>
          <w:szCs w:val="32"/>
          <w:highlight w:val="none"/>
          <w:lang w:val="en-US" w:eastAsia="zh-CN" w:bidi="ar-SA"/>
        </w:rPr>
        <w:t>（四）评价指标体系、评价方法</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本次绩效评价工作制定了准确、合理、细致的三级绩效评价指标体系，包括项目决策、过程、产出、效果的评价指标，满分100分。绩效评价结果分为四个等级：90分（含）—100分为优，80分（含）—90分为良，60分（含）—80分为较差，60分以下为差。采用查阅资料、实地查看、问卷调查和听取情况介绍等方法进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outlineLvl w:val="0"/>
        <w:rPr>
          <w:rFonts w:hint="eastAsia" w:ascii="黑体" w:hAnsi="黑体" w:eastAsia="黑体" w:cs="黑体"/>
          <w:color w:val="auto"/>
          <w:kern w:val="0"/>
          <w:sz w:val="32"/>
          <w:szCs w:val="32"/>
          <w:highlight w:val="none"/>
          <w:lang w:eastAsia="zh-CN"/>
        </w:rPr>
      </w:pPr>
      <w:bookmarkStart w:id="19" w:name="_Toc15335"/>
      <w:bookmarkStart w:id="20" w:name="_Toc7615"/>
      <w:r>
        <w:rPr>
          <w:rFonts w:hint="eastAsia" w:ascii="黑体" w:hAnsi="黑体" w:eastAsia="黑体" w:cs="黑体"/>
          <w:color w:val="auto"/>
          <w:kern w:val="0"/>
          <w:sz w:val="32"/>
          <w:szCs w:val="32"/>
          <w:highlight w:val="none"/>
          <w:lang w:eastAsia="zh-CN"/>
        </w:rPr>
        <w:t>三</w:t>
      </w:r>
      <w:r>
        <w:rPr>
          <w:rFonts w:hint="eastAsia"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lang w:eastAsia="zh-CN"/>
        </w:rPr>
        <w:t>主要绩效及评价结论</w:t>
      </w:r>
      <w:bookmarkEnd w:id="19"/>
      <w:bookmarkEnd w:id="20"/>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default" w:ascii="仿宋" w:hAnsi="仿宋" w:eastAsia="仿宋" w:cs="仿宋"/>
          <w:color w:val="auto"/>
          <w:spacing w:val="-8"/>
          <w:sz w:val="32"/>
          <w:szCs w:val="32"/>
          <w:highlight w:val="none"/>
          <w:lang w:val="en-US" w:eastAsia="zh-CN"/>
        </w:rPr>
      </w:pPr>
      <w:r>
        <w:rPr>
          <w:rFonts w:hint="eastAsia" w:ascii="楷体" w:hAnsi="楷体" w:eastAsia="楷体" w:cs="楷体"/>
          <w:b/>
          <w:bCs/>
          <w:color w:val="auto"/>
          <w:spacing w:val="-8"/>
          <w:sz w:val="32"/>
          <w:szCs w:val="32"/>
          <w:highlight w:val="none"/>
          <w:lang w:eastAsia="zh-CN"/>
        </w:rPr>
        <w:t>（一）经济效益。</w:t>
      </w:r>
      <w:r>
        <w:rPr>
          <w:rFonts w:hint="eastAsia" w:ascii="仿宋" w:hAnsi="仿宋" w:eastAsia="仿宋" w:cs="仿宋"/>
          <w:color w:val="auto"/>
          <w:kern w:val="2"/>
          <w:sz w:val="32"/>
          <w:szCs w:val="32"/>
          <w:highlight w:val="none"/>
          <w:lang w:val="en-US" w:eastAsia="zh-CN" w:bidi="ar-SA"/>
        </w:rPr>
        <w:t>邵阳经开碧水源水务有限公司</w:t>
      </w:r>
      <w:r>
        <w:rPr>
          <w:rFonts w:hint="eastAsia" w:ascii="仿宋" w:hAnsi="仿宋" w:eastAsia="仿宋" w:cs="仿宋"/>
          <w:color w:val="auto"/>
          <w:spacing w:val="-8"/>
          <w:sz w:val="32"/>
          <w:szCs w:val="32"/>
          <w:highlight w:val="none"/>
          <w:lang w:val="en-US" w:eastAsia="zh-CN"/>
        </w:rPr>
        <w:t>对工业废水集中处理，是一项环保措施，能有效降低发制品这一特殊行业整体的环保设备投入成本，减少发制品产业园内相关企业单独处理污水或废水的经济成本以及可能产生的环保罚款；经过处理后的工业污水或生活污水可用于农业灌溉、绿化、工业用水等，满足人们对水资源的需求，节约了淡水资源，能够带来更多的经济效益。</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eastAsia" w:ascii="仿宋" w:hAnsi="仿宋" w:eastAsia="仿宋" w:cs="仿宋"/>
          <w:color w:val="auto"/>
          <w:spacing w:val="-8"/>
          <w:sz w:val="32"/>
          <w:szCs w:val="32"/>
          <w:highlight w:val="none"/>
          <w:lang w:eastAsia="zh-CN"/>
        </w:rPr>
      </w:pPr>
      <w:r>
        <w:rPr>
          <w:rFonts w:hint="eastAsia" w:ascii="楷体" w:hAnsi="楷体" w:eastAsia="楷体" w:cs="楷体"/>
          <w:b/>
          <w:bCs/>
          <w:color w:val="auto"/>
          <w:spacing w:val="-8"/>
          <w:sz w:val="32"/>
          <w:szCs w:val="32"/>
          <w:highlight w:val="none"/>
          <w:lang w:eastAsia="zh-CN"/>
        </w:rPr>
        <w:t>（二）社会效益。</w:t>
      </w:r>
      <w:r>
        <w:rPr>
          <w:rFonts w:hint="eastAsia" w:ascii="仿宋" w:hAnsi="仿宋" w:eastAsia="仿宋" w:cs="仿宋"/>
          <w:color w:val="auto"/>
          <w:spacing w:val="-8"/>
          <w:sz w:val="32"/>
          <w:szCs w:val="32"/>
          <w:highlight w:val="none"/>
          <w:lang w:eastAsia="zh-CN"/>
        </w:rPr>
        <w:t>污水治理是</w:t>
      </w:r>
      <w:r>
        <w:rPr>
          <w:rFonts w:hint="eastAsia" w:ascii="仿宋" w:hAnsi="仿宋" w:eastAsia="仿宋" w:cs="仿宋"/>
          <w:color w:val="auto"/>
          <w:spacing w:val="-8"/>
          <w:sz w:val="32"/>
          <w:szCs w:val="32"/>
          <w:highlight w:val="none"/>
          <w:lang w:val="en-US" w:eastAsia="zh-CN"/>
        </w:rPr>
        <w:t>做好</w:t>
      </w:r>
      <w:r>
        <w:rPr>
          <w:rFonts w:hint="eastAsia" w:ascii="仿宋" w:hAnsi="仿宋" w:eastAsia="仿宋" w:cs="仿宋"/>
          <w:color w:val="auto"/>
          <w:spacing w:val="-8"/>
          <w:sz w:val="32"/>
          <w:szCs w:val="32"/>
          <w:highlight w:val="none"/>
          <w:lang w:eastAsia="zh-CN"/>
        </w:rPr>
        <w:t>城市环境卫生的基本条件之一。</w:t>
      </w:r>
      <w:r>
        <w:rPr>
          <w:rFonts w:hint="eastAsia" w:ascii="仿宋" w:hAnsi="仿宋" w:eastAsia="仿宋" w:cs="仿宋"/>
          <w:color w:val="auto"/>
          <w:spacing w:val="-8"/>
          <w:sz w:val="32"/>
          <w:szCs w:val="32"/>
          <w:highlight w:val="none"/>
          <w:lang w:val="en-US" w:eastAsia="zh-CN"/>
        </w:rPr>
        <w:t>通过污水集中处理</w:t>
      </w:r>
      <w:r>
        <w:rPr>
          <w:rFonts w:hint="eastAsia" w:ascii="仿宋" w:hAnsi="仿宋" w:eastAsia="仿宋" w:cs="仿宋"/>
          <w:color w:val="auto"/>
          <w:spacing w:val="-8"/>
          <w:sz w:val="32"/>
          <w:szCs w:val="32"/>
          <w:highlight w:val="none"/>
          <w:lang w:eastAsia="zh-CN"/>
        </w:rPr>
        <w:t>，改善城市的生产和生活环境，提高环境质量，对于</w:t>
      </w:r>
      <w:r>
        <w:rPr>
          <w:rFonts w:hint="eastAsia" w:ascii="仿宋" w:hAnsi="仿宋" w:eastAsia="仿宋" w:cs="仿宋"/>
          <w:color w:val="auto"/>
          <w:spacing w:val="-8"/>
          <w:sz w:val="32"/>
          <w:szCs w:val="32"/>
          <w:highlight w:val="none"/>
          <w:lang w:val="en-US" w:eastAsia="zh-CN"/>
        </w:rPr>
        <w:t>邵阳经开区今后的长远</w:t>
      </w:r>
      <w:r>
        <w:rPr>
          <w:rFonts w:hint="eastAsia" w:ascii="仿宋" w:hAnsi="仿宋" w:eastAsia="仿宋" w:cs="仿宋"/>
          <w:color w:val="auto"/>
          <w:spacing w:val="-8"/>
          <w:sz w:val="32"/>
          <w:szCs w:val="32"/>
          <w:highlight w:val="none"/>
          <w:lang w:eastAsia="zh-CN"/>
        </w:rPr>
        <w:t>发展具有重要意义。</w:t>
      </w:r>
      <w:r>
        <w:rPr>
          <w:rFonts w:hint="eastAsia" w:ascii="仿宋" w:hAnsi="仿宋" w:eastAsia="仿宋" w:cs="仿宋"/>
          <w:color w:val="auto"/>
          <w:spacing w:val="-8"/>
          <w:sz w:val="32"/>
          <w:szCs w:val="32"/>
          <w:highlight w:val="none"/>
          <w:lang w:val="en-US" w:eastAsia="zh-CN"/>
        </w:rPr>
        <w:t>公司在运营期间</w:t>
      </w:r>
      <w:r>
        <w:rPr>
          <w:rFonts w:hint="eastAsia" w:ascii="仿宋" w:hAnsi="仿宋" w:eastAsia="仿宋" w:cs="仿宋"/>
          <w:color w:val="auto"/>
          <w:spacing w:val="-8"/>
          <w:sz w:val="32"/>
          <w:szCs w:val="32"/>
          <w:highlight w:val="none"/>
          <w:lang w:eastAsia="zh-CN"/>
        </w:rPr>
        <w:t>加强</w:t>
      </w:r>
      <w:r>
        <w:rPr>
          <w:rFonts w:hint="eastAsia" w:ascii="仿宋" w:hAnsi="仿宋" w:eastAsia="仿宋" w:cs="仿宋"/>
          <w:color w:val="auto"/>
          <w:spacing w:val="-8"/>
          <w:sz w:val="32"/>
          <w:szCs w:val="32"/>
          <w:highlight w:val="none"/>
          <w:lang w:val="en-US" w:eastAsia="zh-CN"/>
        </w:rPr>
        <w:t>生产</w:t>
      </w:r>
      <w:r>
        <w:rPr>
          <w:rFonts w:hint="eastAsia" w:ascii="仿宋" w:hAnsi="仿宋" w:eastAsia="仿宋" w:cs="仿宋"/>
          <w:color w:val="auto"/>
          <w:spacing w:val="-8"/>
          <w:sz w:val="32"/>
          <w:szCs w:val="32"/>
          <w:highlight w:val="none"/>
          <w:lang w:eastAsia="zh-CN"/>
        </w:rPr>
        <w:t>安全管控，做好设备</w:t>
      </w:r>
      <w:r>
        <w:rPr>
          <w:rFonts w:hint="eastAsia" w:ascii="仿宋" w:hAnsi="仿宋" w:eastAsia="仿宋" w:cs="仿宋"/>
          <w:color w:val="auto"/>
          <w:spacing w:val="-8"/>
          <w:sz w:val="32"/>
          <w:szCs w:val="32"/>
          <w:highlight w:val="none"/>
          <w:lang w:val="en-US" w:eastAsia="zh-CN"/>
        </w:rPr>
        <w:t>维修保养</w:t>
      </w:r>
      <w:r>
        <w:rPr>
          <w:rFonts w:hint="eastAsia" w:ascii="仿宋" w:hAnsi="仿宋" w:eastAsia="仿宋" w:cs="仿宋"/>
          <w:color w:val="auto"/>
          <w:spacing w:val="-8"/>
          <w:sz w:val="32"/>
          <w:szCs w:val="32"/>
          <w:highlight w:val="none"/>
          <w:lang w:eastAsia="zh-CN"/>
        </w:rPr>
        <w:t>，加强</w:t>
      </w:r>
      <w:r>
        <w:rPr>
          <w:rFonts w:hint="eastAsia" w:ascii="仿宋" w:hAnsi="仿宋" w:eastAsia="仿宋" w:cs="仿宋"/>
          <w:color w:val="auto"/>
          <w:spacing w:val="-8"/>
          <w:sz w:val="32"/>
          <w:szCs w:val="32"/>
          <w:highlight w:val="none"/>
          <w:lang w:val="en-US" w:eastAsia="zh-CN"/>
        </w:rPr>
        <w:t>员工</w:t>
      </w:r>
      <w:r>
        <w:rPr>
          <w:rFonts w:hint="eastAsia" w:ascii="仿宋" w:hAnsi="仿宋" w:eastAsia="仿宋" w:cs="仿宋"/>
          <w:color w:val="auto"/>
          <w:spacing w:val="-8"/>
          <w:sz w:val="32"/>
          <w:szCs w:val="32"/>
          <w:highlight w:val="none"/>
          <w:lang w:eastAsia="zh-CN"/>
        </w:rPr>
        <w:t>安全培训</w:t>
      </w:r>
      <w:r>
        <w:rPr>
          <w:rFonts w:hint="eastAsia" w:ascii="仿宋" w:hAnsi="仿宋" w:eastAsia="仿宋" w:cs="仿宋"/>
          <w:color w:val="auto"/>
          <w:spacing w:val="-8"/>
          <w:sz w:val="32"/>
          <w:szCs w:val="32"/>
          <w:highlight w:val="none"/>
          <w:lang w:val="en-US" w:eastAsia="zh-CN"/>
        </w:rPr>
        <w:t>工作</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运营期间</w:t>
      </w:r>
      <w:r>
        <w:rPr>
          <w:rFonts w:hint="eastAsia" w:ascii="仿宋" w:hAnsi="仿宋" w:eastAsia="仿宋" w:cs="仿宋"/>
          <w:color w:val="auto"/>
          <w:spacing w:val="-8"/>
          <w:sz w:val="32"/>
          <w:szCs w:val="32"/>
          <w:highlight w:val="none"/>
          <w:lang w:eastAsia="zh-CN"/>
        </w:rPr>
        <w:t>未发生水质、设备、人身等安全事故，也未收到</w:t>
      </w:r>
      <w:r>
        <w:rPr>
          <w:rFonts w:hint="eastAsia" w:ascii="仿宋" w:hAnsi="仿宋" w:eastAsia="仿宋" w:cs="仿宋"/>
          <w:color w:val="auto"/>
          <w:spacing w:val="-8"/>
          <w:sz w:val="32"/>
          <w:szCs w:val="32"/>
          <w:highlight w:val="none"/>
          <w:lang w:val="en-US" w:eastAsia="zh-CN"/>
        </w:rPr>
        <w:t>有关环境污染方面的</w:t>
      </w:r>
      <w:r>
        <w:rPr>
          <w:rFonts w:hint="eastAsia" w:ascii="仿宋" w:hAnsi="仿宋" w:eastAsia="仿宋" w:cs="仿宋"/>
          <w:color w:val="auto"/>
          <w:spacing w:val="-8"/>
          <w:sz w:val="32"/>
          <w:szCs w:val="32"/>
          <w:highlight w:val="none"/>
          <w:lang w:eastAsia="zh-CN"/>
        </w:rPr>
        <w:t>投诉，未发现相关媒体负面报道。</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textAlignment w:val="auto"/>
        <w:rPr>
          <w:rFonts w:hint="eastAsia" w:ascii="仿宋" w:hAnsi="仿宋" w:eastAsia="仿宋" w:cs="仿宋"/>
          <w:color w:val="auto"/>
          <w:kern w:val="2"/>
          <w:sz w:val="32"/>
          <w:szCs w:val="32"/>
          <w:highlight w:val="none"/>
          <w:lang w:val="en-US" w:eastAsia="zh-CN" w:bidi="ar-SA"/>
        </w:rPr>
      </w:pPr>
      <w:r>
        <w:rPr>
          <w:rFonts w:hint="eastAsia" w:ascii="楷体" w:hAnsi="楷体" w:eastAsia="楷体" w:cs="楷体"/>
          <w:b/>
          <w:bCs/>
          <w:color w:val="auto"/>
          <w:spacing w:val="-8"/>
          <w:sz w:val="32"/>
          <w:szCs w:val="32"/>
          <w:highlight w:val="none"/>
          <w:lang w:eastAsia="zh-CN"/>
        </w:rPr>
        <w:t>（三）环境效益</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经过处理后的</w:t>
      </w:r>
      <w:r>
        <w:rPr>
          <w:rFonts w:hint="eastAsia" w:ascii="仿宋" w:hAnsi="仿宋" w:eastAsia="仿宋" w:cs="仿宋"/>
          <w:color w:val="auto"/>
          <w:kern w:val="2"/>
          <w:sz w:val="32"/>
          <w:szCs w:val="32"/>
          <w:highlight w:val="none"/>
          <w:lang w:val="en-US" w:eastAsia="zh-CN" w:bidi="ar-SA"/>
        </w:rPr>
        <w:t>出水水质排放合格率 100%，污水处理厂出水水质达到《城镇污水处理厂污染物排放标准》（GB18918-2002）一级A标准，废水处理厂出水水质达到《污水综合排放标准》（GB8978-1996）一级标准。污水处理去除了水中的有害物质和污染物，避免水环境的污染和蓝藻等有害生物的繁殖,为鱼类、水生植物和河流生态环境提供更加良好的生存环境；同时降低了与污染有关疾病的传播，提高了居民生活的环境质量。</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default" w:ascii="仿宋" w:hAnsi="仿宋" w:eastAsia="仿宋" w:cs="仿宋"/>
          <w:color w:val="auto"/>
          <w:spacing w:val="-8"/>
          <w:sz w:val="32"/>
          <w:szCs w:val="32"/>
          <w:highlight w:val="none"/>
          <w:lang w:val="en-US" w:eastAsia="zh-CN"/>
        </w:rPr>
      </w:pPr>
      <w:r>
        <w:rPr>
          <w:rFonts w:hint="eastAsia" w:ascii="楷体" w:hAnsi="楷体" w:eastAsia="楷体" w:cs="楷体"/>
          <w:b/>
          <w:bCs/>
          <w:color w:val="auto"/>
          <w:spacing w:val="-8"/>
          <w:sz w:val="32"/>
          <w:szCs w:val="32"/>
          <w:highlight w:val="none"/>
          <w:lang w:eastAsia="zh-CN"/>
        </w:rPr>
        <w:t>（四）可持续</w:t>
      </w:r>
      <w:r>
        <w:rPr>
          <w:rFonts w:hint="eastAsia" w:ascii="楷体" w:hAnsi="楷体" w:eastAsia="楷体" w:cs="楷体"/>
          <w:b/>
          <w:bCs/>
          <w:color w:val="auto"/>
          <w:spacing w:val="-8"/>
          <w:sz w:val="32"/>
          <w:szCs w:val="32"/>
          <w:highlight w:val="none"/>
          <w:lang w:val="en-US" w:eastAsia="zh-CN"/>
        </w:rPr>
        <w:t>性影响</w:t>
      </w:r>
      <w:r>
        <w:rPr>
          <w:rFonts w:hint="eastAsia" w:ascii="楷体" w:hAnsi="楷体" w:eastAsia="楷体" w:cs="楷体"/>
          <w:b/>
          <w:bCs/>
          <w:color w:val="auto"/>
          <w:spacing w:val="-8"/>
          <w:sz w:val="32"/>
          <w:szCs w:val="32"/>
          <w:highlight w:val="none"/>
          <w:lang w:eastAsia="zh-CN"/>
        </w:rPr>
        <w:t>。</w:t>
      </w:r>
      <w:r>
        <w:rPr>
          <w:rFonts w:hint="eastAsia" w:ascii="仿宋" w:hAnsi="仿宋" w:eastAsia="仿宋" w:cs="仿宋"/>
          <w:color w:val="auto"/>
          <w:spacing w:val="-8"/>
          <w:sz w:val="32"/>
          <w:szCs w:val="32"/>
          <w:highlight w:val="none"/>
          <w:lang w:eastAsia="zh-CN"/>
        </w:rPr>
        <w:t>污水、</w:t>
      </w:r>
      <w:r>
        <w:rPr>
          <w:rFonts w:hint="eastAsia" w:ascii="仿宋" w:hAnsi="仿宋" w:eastAsia="仿宋" w:cs="仿宋"/>
          <w:color w:val="auto"/>
          <w:spacing w:val="-8"/>
          <w:sz w:val="32"/>
          <w:szCs w:val="32"/>
          <w:highlight w:val="none"/>
          <w:lang w:val="en-US" w:eastAsia="zh-CN"/>
        </w:rPr>
        <w:t>废水</w:t>
      </w:r>
      <w:r>
        <w:rPr>
          <w:rFonts w:hint="eastAsia" w:ascii="仿宋" w:hAnsi="仿宋" w:eastAsia="仿宋" w:cs="仿宋"/>
          <w:color w:val="auto"/>
          <w:spacing w:val="-8"/>
          <w:sz w:val="32"/>
          <w:szCs w:val="32"/>
          <w:highlight w:val="none"/>
          <w:lang w:eastAsia="zh-CN"/>
        </w:rPr>
        <w:t>处理厂在可持续发展方面起着重要作用。其主要措施</w:t>
      </w:r>
      <w:r>
        <w:rPr>
          <w:rFonts w:hint="eastAsia" w:ascii="仿宋" w:hAnsi="仿宋" w:eastAsia="仿宋" w:cs="仿宋"/>
          <w:color w:val="auto"/>
          <w:spacing w:val="-8"/>
          <w:sz w:val="32"/>
          <w:szCs w:val="32"/>
          <w:highlight w:val="none"/>
          <w:lang w:val="en-US" w:eastAsia="zh-CN"/>
        </w:rPr>
        <w:t>是采用MBR膜技术，省去了二沉池等工艺环节，占地面积大幅减少，节约了土地资源。污水处理厂通过降低能耗和水耗，减少对环境的污染，回收利用污水处理后的水资源，减少对自然水源的依赖程度；合理处置处理后的污泥和处理过程中产生的各种气体，减少对环境和大气的污染。项目在节约土地资源、回收再利用水资源和减少环境污染等方面，实现了环保可持续发展。</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eastAsia" w:ascii="仿宋" w:hAnsi="仿宋" w:eastAsia="仿宋" w:cs="仿宋"/>
          <w:color w:val="auto"/>
          <w:spacing w:val="-8"/>
          <w:sz w:val="32"/>
          <w:szCs w:val="32"/>
          <w:highlight w:val="none"/>
          <w:lang w:eastAsia="zh-CN"/>
        </w:rPr>
      </w:pPr>
      <w:r>
        <w:rPr>
          <w:rFonts w:hint="eastAsia" w:ascii="楷体" w:hAnsi="楷体" w:eastAsia="楷体" w:cs="楷体"/>
          <w:b/>
          <w:bCs/>
          <w:color w:val="auto"/>
          <w:spacing w:val="-8"/>
          <w:sz w:val="32"/>
          <w:szCs w:val="32"/>
          <w:highlight w:val="none"/>
          <w:lang w:eastAsia="zh-CN"/>
        </w:rPr>
        <w:t>（五）满意度情况。</w:t>
      </w:r>
      <w:r>
        <w:rPr>
          <w:rFonts w:hint="eastAsia" w:ascii="仿宋" w:hAnsi="仿宋" w:eastAsia="仿宋" w:cs="仿宋"/>
          <w:color w:val="auto"/>
          <w:spacing w:val="-8"/>
          <w:sz w:val="32"/>
          <w:szCs w:val="32"/>
          <w:highlight w:val="none"/>
          <w:lang w:val="en-US" w:eastAsia="zh-CN"/>
        </w:rPr>
        <w:t>本次现场评价工作</w:t>
      </w:r>
      <w:r>
        <w:rPr>
          <w:rFonts w:hint="eastAsia" w:ascii="仿宋" w:hAnsi="仿宋" w:eastAsia="仿宋" w:cs="仿宋"/>
          <w:color w:val="auto"/>
          <w:spacing w:val="-8"/>
          <w:sz w:val="32"/>
          <w:szCs w:val="32"/>
          <w:highlight w:val="none"/>
          <w:lang w:eastAsia="zh-CN"/>
        </w:rPr>
        <w:t>经发放调查问卷</w:t>
      </w:r>
      <w:r>
        <w:rPr>
          <w:rFonts w:hint="eastAsia" w:ascii="仿宋" w:hAnsi="仿宋" w:eastAsia="仿宋" w:cs="仿宋"/>
          <w:color w:val="auto"/>
          <w:spacing w:val="-8"/>
          <w:sz w:val="32"/>
          <w:szCs w:val="32"/>
          <w:highlight w:val="none"/>
          <w:lang w:val="en-US" w:eastAsia="zh-CN"/>
        </w:rPr>
        <w:t>30</w:t>
      </w:r>
      <w:r>
        <w:rPr>
          <w:rFonts w:hint="eastAsia" w:ascii="仿宋" w:hAnsi="仿宋" w:eastAsia="仿宋" w:cs="仿宋"/>
          <w:color w:val="auto"/>
          <w:spacing w:val="-8"/>
          <w:sz w:val="32"/>
          <w:szCs w:val="32"/>
          <w:highlight w:val="none"/>
          <w:lang w:eastAsia="zh-CN"/>
        </w:rPr>
        <w:t>份，回收</w:t>
      </w:r>
      <w:r>
        <w:rPr>
          <w:rFonts w:hint="eastAsia" w:ascii="仿宋" w:hAnsi="仿宋" w:eastAsia="仿宋" w:cs="仿宋"/>
          <w:color w:val="auto"/>
          <w:spacing w:val="-8"/>
          <w:sz w:val="32"/>
          <w:szCs w:val="32"/>
          <w:highlight w:val="none"/>
          <w:lang w:val="en-US" w:eastAsia="zh-CN"/>
        </w:rPr>
        <w:t>3</w:t>
      </w:r>
      <w:r>
        <w:rPr>
          <w:rFonts w:hint="eastAsia" w:ascii="仿宋" w:hAnsi="仿宋" w:eastAsia="仿宋" w:cs="仿宋"/>
          <w:color w:val="auto"/>
          <w:spacing w:val="-8"/>
          <w:sz w:val="32"/>
          <w:szCs w:val="32"/>
          <w:highlight w:val="none"/>
          <w:lang w:eastAsia="zh-CN"/>
        </w:rPr>
        <w:t>0份，</w:t>
      </w:r>
      <w:r>
        <w:rPr>
          <w:rFonts w:hint="eastAsia" w:ascii="仿宋" w:hAnsi="仿宋" w:eastAsia="仿宋" w:cs="仿宋"/>
          <w:color w:val="auto"/>
          <w:spacing w:val="-8"/>
          <w:sz w:val="32"/>
          <w:szCs w:val="32"/>
          <w:highlight w:val="none"/>
          <w:lang w:val="en-US" w:eastAsia="zh-CN"/>
        </w:rPr>
        <w:t>被调查人对项目的</w:t>
      </w:r>
      <w:r>
        <w:rPr>
          <w:rFonts w:hint="eastAsia" w:ascii="仿宋" w:hAnsi="仿宋" w:eastAsia="仿宋" w:cs="仿宋"/>
          <w:color w:val="auto"/>
          <w:spacing w:val="-8"/>
          <w:sz w:val="32"/>
          <w:szCs w:val="32"/>
          <w:highlight w:val="none"/>
          <w:lang w:eastAsia="zh-CN"/>
        </w:rPr>
        <w:t>满意率</w:t>
      </w:r>
      <w:r>
        <w:rPr>
          <w:rFonts w:hint="eastAsia" w:ascii="仿宋" w:hAnsi="仿宋" w:eastAsia="仿宋" w:cs="仿宋"/>
          <w:color w:val="auto"/>
          <w:spacing w:val="-8"/>
          <w:sz w:val="32"/>
          <w:szCs w:val="32"/>
          <w:highlight w:val="none"/>
          <w:lang w:val="en-US" w:eastAsia="zh-CN"/>
        </w:rPr>
        <w:t>90</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以上</w:t>
      </w:r>
      <w:r>
        <w:rPr>
          <w:rFonts w:hint="eastAsia" w:ascii="仿宋" w:hAnsi="仿宋" w:eastAsia="仿宋" w:cs="仿宋"/>
          <w:color w:val="auto"/>
          <w:spacing w:val="-8"/>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default" w:ascii="仿宋" w:hAnsi="仿宋" w:eastAsia="仿宋" w:cs="仿宋"/>
          <w:color w:val="auto"/>
          <w:spacing w:val="-8"/>
          <w:sz w:val="32"/>
          <w:szCs w:val="32"/>
          <w:highlight w:val="none"/>
          <w:lang w:val="en-US" w:eastAsia="zh-CN"/>
        </w:rPr>
      </w:pPr>
      <w:r>
        <w:rPr>
          <w:rFonts w:hint="eastAsia" w:ascii="楷体" w:hAnsi="楷体" w:eastAsia="楷体" w:cs="楷体"/>
          <w:b/>
          <w:bCs/>
          <w:color w:val="auto"/>
          <w:spacing w:val="-8"/>
          <w:sz w:val="32"/>
          <w:szCs w:val="32"/>
          <w:highlight w:val="none"/>
          <w:lang w:eastAsia="zh-CN"/>
        </w:rPr>
        <w:t>（</w:t>
      </w:r>
      <w:r>
        <w:rPr>
          <w:rFonts w:hint="eastAsia" w:ascii="楷体" w:hAnsi="楷体" w:eastAsia="楷体" w:cs="楷体"/>
          <w:b/>
          <w:bCs/>
          <w:color w:val="auto"/>
          <w:spacing w:val="-8"/>
          <w:sz w:val="32"/>
          <w:szCs w:val="32"/>
          <w:highlight w:val="none"/>
          <w:lang w:val="en-US" w:eastAsia="zh-CN"/>
        </w:rPr>
        <w:t>六</w:t>
      </w:r>
      <w:r>
        <w:rPr>
          <w:rFonts w:hint="eastAsia" w:ascii="楷体" w:hAnsi="楷体" w:eastAsia="楷体" w:cs="楷体"/>
          <w:b/>
          <w:bCs/>
          <w:color w:val="auto"/>
          <w:spacing w:val="-8"/>
          <w:sz w:val="32"/>
          <w:szCs w:val="32"/>
          <w:highlight w:val="none"/>
          <w:lang w:eastAsia="zh-CN"/>
        </w:rPr>
        <w:t>）</w:t>
      </w:r>
      <w:r>
        <w:rPr>
          <w:rFonts w:hint="eastAsia" w:ascii="楷体" w:hAnsi="楷体" w:eastAsia="楷体" w:cs="楷体"/>
          <w:b/>
          <w:bCs/>
          <w:color w:val="auto"/>
          <w:spacing w:val="-8"/>
          <w:sz w:val="32"/>
          <w:szCs w:val="32"/>
          <w:highlight w:val="none"/>
          <w:lang w:val="en-US" w:eastAsia="zh-CN"/>
        </w:rPr>
        <w:t>PPP运行</w:t>
      </w:r>
      <w:r>
        <w:rPr>
          <w:rFonts w:hint="eastAsia" w:ascii="楷体" w:hAnsi="楷体" w:eastAsia="楷体" w:cs="楷体"/>
          <w:b/>
          <w:bCs/>
          <w:color w:val="auto"/>
          <w:spacing w:val="-8"/>
          <w:sz w:val="32"/>
          <w:szCs w:val="32"/>
          <w:highlight w:val="none"/>
          <w:lang w:eastAsia="zh-CN"/>
        </w:rPr>
        <w:t>情况。</w:t>
      </w:r>
      <w:r>
        <w:rPr>
          <w:rFonts w:hint="eastAsia" w:ascii="仿宋" w:hAnsi="仿宋" w:eastAsia="仿宋" w:cs="仿宋"/>
          <w:color w:val="auto"/>
          <w:spacing w:val="-8"/>
          <w:sz w:val="32"/>
          <w:szCs w:val="32"/>
          <w:highlight w:val="none"/>
          <w:lang w:val="en-US" w:eastAsia="zh-CN"/>
        </w:rPr>
        <w:t>本项目采用</w:t>
      </w:r>
      <w:r>
        <w:rPr>
          <w:rFonts w:hint="eastAsia" w:ascii="仿宋" w:hAnsi="仿宋" w:eastAsia="仿宋" w:cs="仿宋"/>
          <w:color w:val="auto"/>
          <w:spacing w:val="-8"/>
          <w:sz w:val="32"/>
          <w:szCs w:val="32"/>
          <w:highlight w:val="none"/>
          <w:lang w:eastAsia="zh-CN"/>
        </w:rPr>
        <w:t>PPP</w:t>
      </w:r>
      <w:r>
        <w:rPr>
          <w:rFonts w:hint="eastAsia" w:ascii="仿宋" w:hAnsi="仿宋" w:eastAsia="仿宋" w:cs="仿宋"/>
          <w:color w:val="auto"/>
          <w:spacing w:val="-8"/>
          <w:sz w:val="32"/>
          <w:szCs w:val="32"/>
          <w:highlight w:val="none"/>
          <w:lang w:val="en-US" w:eastAsia="zh-CN"/>
        </w:rPr>
        <w:t>模式，撬动了社会资本参与市政公用基础设施项目建设，通过政府与社会资本建立</w:t>
      </w:r>
      <w:r>
        <w:rPr>
          <w:rFonts w:hint="eastAsia" w:ascii="仿宋" w:hAnsi="仿宋" w:eastAsia="仿宋" w:cs="仿宋"/>
          <w:color w:val="auto"/>
          <w:spacing w:val="-8"/>
          <w:sz w:val="32"/>
          <w:szCs w:val="32"/>
          <w:highlight w:val="none"/>
          <w:lang w:eastAsia="zh-CN"/>
        </w:rPr>
        <w:t>利益共享、风险共担的</w:t>
      </w:r>
      <w:r>
        <w:rPr>
          <w:rFonts w:hint="eastAsia" w:ascii="仿宋" w:hAnsi="仿宋" w:eastAsia="仿宋" w:cs="仿宋"/>
          <w:color w:val="auto"/>
          <w:spacing w:val="-8"/>
          <w:sz w:val="32"/>
          <w:szCs w:val="32"/>
          <w:highlight w:val="none"/>
          <w:lang w:val="en-US" w:eastAsia="zh-CN"/>
        </w:rPr>
        <w:t>长期合作</w:t>
      </w:r>
      <w:r>
        <w:rPr>
          <w:rFonts w:hint="eastAsia" w:ascii="仿宋" w:hAnsi="仿宋" w:eastAsia="仿宋" w:cs="仿宋"/>
          <w:color w:val="auto"/>
          <w:spacing w:val="-8"/>
          <w:sz w:val="32"/>
          <w:szCs w:val="32"/>
          <w:highlight w:val="none"/>
          <w:lang w:eastAsia="zh-CN"/>
        </w:rPr>
        <w:t>关系,有效降低项目的整体成本</w:t>
      </w:r>
      <w:r>
        <w:rPr>
          <w:rFonts w:hint="eastAsia" w:ascii="仿宋" w:hAnsi="仿宋" w:eastAsia="仿宋" w:cs="仿宋"/>
          <w:color w:val="auto"/>
          <w:spacing w:val="-8"/>
          <w:sz w:val="32"/>
          <w:szCs w:val="32"/>
          <w:highlight w:val="none"/>
          <w:lang w:val="en-US" w:eastAsia="zh-CN"/>
        </w:rPr>
        <w:t>和投资风险。项目实施单位自筹资金投入项目工程建设</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在特许经营期内由政府按效付费，有效平滑了政府财政支出压力。邵阳经开区在该项目中仅占股10%，没有利用项目举借政府性债务，项目整体运行平稳。</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11" w:firstLineChars="200"/>
        <w:textAlignment w:val="auto"/>
        <w:rPr>
          <w:rFonts w:hint="default" w:ascii="仿宋" w:hAnsi="仿宋" w:eastAsia="仿宋" w:cs="仿宋"/>
          <w:color w:val="auto"/>
          <w:spacing w:val="-8"/>
          <w:sz w:val="32"/>
          <w:szCs w:val="32"/>
          <w:highlight w:val="none"/>
          <w:lang w:val="en-US" w:eastAsia="zh-CN"/>
        </w:rPr>
      </w:pPr>
      <w:r>
        <w:rPr>
          <w:rFonts w:hint="eastAsia" w:ascii="楷体" w:hAnsi="楷体" w:eastAsia="楷体" w:cs="楷体"/>
          <w:b/>
          <w:bCs/>
          <w:color w:val="auto"/>
          <w:spacing w:val="-8"/>
          <w:sz w:val="32"/>
          <w:szCs w:val="32"/>
          <w:highlight w:val="none"/>
          <w:lang w:eastAsia="zh-CN"/>
        </w:rPr>
        <w:t>（</w:t>
      </w:r>
      <w:r>
        <w:rPr>
          <w:rFonts w:hint="eastAsia" w:ascii="楷体" w:hAnsi="楷体" w:eastAsia="楷体" w:cs="楷体"/>
          <w:b/>
          <w:bCs/>
          <w:color w:val="auto"/>
          <w:spacing w:val="-8"/>
          <w:sz w:val="32"/>
          <w:szCs w:val="32"/>
          <w:highlight w:val="none"/>
          <w:lang w:val="en-US" w:eastAsia="zh-CN"/>
        </w:rPr>
        <w:t>七</w:t>
      </w:r>
      <w:r>
        <w:rPr>
          <w:rFonts w:hint="eastAsia" w:ascii="楷体" w:hAnsi="楷体" w:eastAsia="楷体" w:cs="楷体"/>
          <w:b/>
          <w:bCs/>
          <w:color w:val="auto"/>
          <w:spacing w:val="-8"/>
          <w:sz w:val="32"/>
          <w:szCs w:val="32"/>
          <w:highlight w:val="none"/>
          <w:lang w:eastAsia="zh-CN"/>
        </w:rPr>
        <w:t>）评价结</w:t>
      </w:r>
      <w:r>
        <w:rPr>
          <w:rFonts w:hint="eastAsia" w:ascii="楷体" w:hAnsi="楷体" w:eastAsia="楷体" w:cs="楷体"/>
          <w:b/>
          <w:bCs/>
          <w:color w:val="auto"/>
          <w:spacing w:val="-8"/>
          <w:sz w:val="32"/>
          <w:szCs w:val="32"/>
          <w:highlight w:val="none"/>
          <w:lang w:val="en-US" w:eastAsia="zh-CN"/>
        </w:rPr>
        <w:t>论。</w:t>
      </w:r>
      <w:r>
        <w:rPr>
          <w:rFonts w:hint="eastAsia" w:ascii="仿宋" w:hAnsi="仿宋" w:eastAsia="仿宋" w:cs="仿宋"/>
          <w:color w:val="auto"/>
          <w:spacing w:val="-8"/>
          <w:sz w:val="32"/>
          <w:szCs w:val="32"/>
          <w:highlight w:val="none"/>
          <w:lang w:eastAsia="zh-CN"/>
        </w:rPr>
        <w:t>20</w:t>
      </w:r>
      <w:r>
        <w:rPr>
          <w:rFonts w:hint="eastAsia" w:ascii="仿宋" w:hAnsi="仿宋" w:eastAsia="仿宋" w:cs="仿宋"/>
          <w:color w:val="auto"/>
          <w:spacing w:val="-8"/>
          <w:sz w:val="32"/>
          <w:szCs w:val="32"/>
          <w:highlight w:val="none"/>
          <w:lang w:val="en-US" w:eastAsia="zh-CN"/>
        </w:rPr>
        <w:t>18年6月-2022</w:t>
      </w:r>
      <w:r>
        <w:rPr>
          <w:rFonts w:hint="eastAsia" w:ascii="仿宋" w:hAnsi="仿宋" w:eastAsia="仿宋" w:cs="仿宋"/>
          <w:color w:val="auto"/>
          <w:spacing w:val="-8"/>
          <w:sz w:val="32"/>
          <w:szCs w:val="32"/>
          <w:highlight w:val="none"/>
          <w:lang w:eastAsia="zh-CN"/>
        </w:rPr>
        <w:t>年</w:t>
      </w:r>
      <w:r>
        <w:rPr>
          <w:rFonts w:hint="eastAsia" w:ascii="仿宋" w:hAnsi="仿宋" w:eastAsia="仿宋" w:cs="仿宋"/>
          <w:color w:val="auto"/>
          <w:spacing w:val="-8"/>
          <w:sz w:val="32"/>
          <w:szCs w:val="32"/>
          <w:highlight w:val="none"/>
          <w:lang w:val="en-US" w:eastAsia="zh-CN"/>
        </w:rPr>
        <w:t>12月</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邵阳经开碧水源水务有限公司</w:t>
      </w:r>
      <w:r>
        <w:rPr>
          <w:rFonts w:hint="eastAsia" w:ascii="仿宋" w:hAnsi="仿宋" w:eastAsia="仿宋" w:cs="仿宋"/>
          <w:color w:val="auto"/>
          <w:spacing w:val="-8"/>
          <w:sz w:val="32"/>
          <w:szCs w:val="32"/>
          <w:highlight w:val="none"/>
          <w:lang w:eastAsia="zh-CN"/>
        </w:rPr>
        <w:t>在</w:t>
      </w:r>
      <w:r>
        <w:rPr>
          <w:rFonts w:hint="eastAsia" w:ascii="仿宋" w:hAnsi="仿宋" w:eastAsia="仿宋" w:cs="仿宋"/>
          <w:color w:val="auto"/>
          <w:spacing w:val="-8"/>
          <w:sz w:val="32"/>
          <w:szCs w:val="32"/>
          <w:highlight w:val="none"/>
          <w:lang w:val="en-US" w:eastAsia="zh-CN"/>
        </w:rPr>
        <w:t>经开区管委会以及</w:t>
      </w:r>
      <w:r>
        <w:rPr>
          <w:rFonts w:hint="eastAsia" w:ascii="仿宋" w:hAnsi="仿宋" w:eastAsia="仿宋" w:cs="仿宋"/>
          <w:color w:val="auto"/>
          <w:spacing w:val="-8"/>
          <w:sz w:val="32"/>
          <w:szCs w:val="32"/>
          <w:highlight w:val="none"/>
          <w:lang w:eastAsia="zh-CN"/>
        </w:rPr>
        <w:t>相关部门的</w:t>
      </w:r>
      <w:r>
        <w:rPr>
          <w:rFonts w:hint="eastAsia" w:ascii="仿宋" w:hAnsi="仿宋" w:eastAsia="仿宋" w:cs="仿宋"/>
          <w:color w:val="auto"/>
          <w:spacing w:val="-8"/>
          <w:sz w:val="32"/>
          <w:szCs w:val="32"/>
          <w:highlight w:val="none"/>
          <w:lang w:val="en-US" w:eastAsia="zh-CN"/>
        </w:rPr>
        <w:t>支持</w:t>
      </w:r>
      <w:r>
        <w:rPr>
          <w:rFonts w:hint="eastAsia" w:ascii="仿宋" w:hAnsi="仿宋" w:eastAsia="仿宋" w:cs="仿宋"/>
          <w:color w:val="auto"/>
          <w:spacing w:val="-8"/>
          <w:sz w:val="32"/>
          <w:szCs w:val="32"/>
          <w:highlight w:val="none"/>
          <w:lang w:eastAsia="zh-CN"/>
        </w:rPr>
        <w:t>和</w:t>
      </w:r>
      <w:r>
        <w:rPr>
          <w:rFonts w:hint="eastAsia" w:ascii="仿宋" w:hAnsi="仿宋" w:eastAsia="仿宋" w:cs="仿宋"/>
          <w:color w:val="auto"/>
          <w:spacing w:val="-8"/>
          <w:sz w:val="32"/>
          <w:szCs w:val="32"/>
          <w:highlight w:val="none"/>
          <w:lang w:val="en-US" w:eastAsia="zh-CN"/>
        </w:rPr>
        <w:t>协助</w:t>
      </w:r>
      <w:r>
        <w:rPr>
          <w:rFonts w:hint="eastAsia" w:ascii="仿宋" w:hAnsi="仿宋" w:eastAsia="仿宋" w:cs="仿宋"/>
          <w:color w:val="auto"/>
          <w:spacing w:val="-8"/>
          <w:sz w:val="32"/>
          <w:szCs w:val="32"/>
          <w:highlight w:val="none"/>
          <w:lang w:eastAsia="zh-CN"/>
        </w:rPr>
        <w:t>下，</w:t>
      </w:r>
      <w:r>
        <w:rPr>
          <w:rFonts w:hint="eastAsia" w:ascii="仿宋" w:hAnsi="仿宋" w:eastAsia="仿宋" w:cs="仿宋"/>
          <w:color w:val="auto"/>
          <w:spacing w:val="-8"/>
          <w:sz w:val="32"/>
          <w:szCs w:val="32"/>
          <w:highlight w:val="none"/>
          <w:lang w:val="en-US" w:eastAsia="zh-CN"/>
        </w:rPr>
        <w:t>按照生产工艺流程和标准</w:t>
      </w:r>
      <w:r>
        <w:rPr>
          <w:rFonts w:hint="eastAsia" w:ascii="仿宋" w:hAnsi="仿宋" w:eastAsia="仿宋" w:cs="仿宋"/>
          <w:color w:val="auto"/>
          <w:spacing w:val="-8"/>
          <w:sz w:val="32"/>
          <w:szCs w:val="32"/>
          <w:highlight w:val="none"/>
          <w:lang w:eastAsia="zh-CN"/>
        </w:rPr>
        <w:t>精心组织运营，</w:t>
      </w:r>
      <w:r>
        <w:rPr>
          <w:rFonts w:hint="eastAsia" w:ascii="仿宋" w:hAnsi="仿宋" w:eastAsia="仿宋" w:cs="仿宋"/>
          <w:color w:val="auto"/>
          <w:spacing w:val="-8"/>
          <w:sz w:val="32"/>
          <w:szCs w:val="32"/>
          <w:highlight w:val="none"/>
          <w:lang w:val="en-US" w:eastAsia="zh-CN"/>
        </w:rPr>
        <w:t>二个处理厂</w:t>
      </w:r>
      <w:r>
        <w:rPr>
          <w:rFonts w:hint="eastAsia" w:ascii="仿宋" w:hAnsi="仿宋" w:eastAsia="仿宋" w:cs="仿宋"/>
          <w:color w:val="auto"/>
          <w:spacing w:val="-8"/>
          <w:sz w:val="32"/>
          <w:szCs w:val="32"/>
          <w:highlight w:val="none"/>
          <w:lang w:eastAsia="zh-CN"/>
        </w:rPr>
        <w:t>安全生产运转</w:t>
      </w:r>
      <w:r>
        <w:rPr>
          <w:rFonts w:hint="eastAsia" w:ascii="仿宋" w:hAnsi="仿宋" w:eastAsia="仿宋" w:cs="仿宋"/>
          <w:color w:val="auto"/>
          <w:spacing w:val="-8"/>
          <w:sz w:val="32"/>
          <w:szCs w:val="32"/>
          <w:highlight w:val="none"/>
          <w:lang w:val="en-US" w:eastAsia="zh-CN"/>
        </w:rPr>
        <w:t>平均1714</w:t>
      </w:r>
      <w:r>
        <w:rPr>
          <w:rFonts w:hint="eastAsia" w:ascii="仿宋" w:hAnsi="仿宋" w:eastAsia="仿宋" w:cs="仿宋"/>
          <w:color w:val="auto"/>
          <w:spacing w:val="-8"/>
          <w:sz w:val="32"/>
          <w:szCs w:val="32"/>
          <w:highlight w:val="none"/>
          <w:lang w:eastAsia="zh-CN"/>
        </w:rPr>
        <w:t>天，及时处理了</w:t>
      </w:r>
      <w:r>
        <w:rPr>
          <w:rFonts w:hint="eastAsia" w:ascii="仿宋" w:hAnsi="仿宋" w:eastAsia="仿宋" w:cs="仿宋"/>
          <w:color w:val="auto"/>
          <w:spacing w:val="-8"/>
          <w:sz w:val="32"/>
          <w:szCs w:val="32"/>
          <w:highlight w:val="none"/>
          <w:lang w:val="en-US" w:eastAsia="zh-CN"/>
        </w:rPr>
        <w:t>接入的经开区</w:t>
      </w:r>
      <w:r>
        <w:rPr>
          <w:rFonts w:hint="eastAsia" w:ascii="仿宋" w:hAnsi="仿宋" w:eastAsia="仿宋" w:cs="仿宋"/>
          <w:color w:val="auto"/>
          <w:spacing w:val="-8"/>
          <w:sz w:val="32"/>
          <w:szCs w:val="32"/>
          <w:highlight w:val="none"/>
          <w:lang w:eastAsia="zh-CN"/>
        </w:rPr>
        <w:t>污水、</w:t>
      </w:r>
      <w:r>
        <w:rPr>
          <w:rFonts w:hint="eastAsia" w:ascii="仿宋" w:hAnsi="仿宋" w:eastAsia="仿宋" w:cs="仿宋"/>
          <w:color w:val="auto"/>
          <w:spacing w:val="-8"/>
          <w:sz w:val="32"/>
          <w:szCs w:val="32"/>
          <w:highlight w:val="none"/>
          <w:lang w:val="en-US" w:eastAsia="zh-CN"/>
        </w:rPr>
        <w:t>废水</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实际</w:t>
      </w:r>
      <w:r>
        <w:rPr>
          <w:rFonts w:hint="eastAsia" w:ascii="仿宋" w:hAnsi="仿宋" w:eastAsia="仿宋" w:cs="仿宋"/>
          <w:color w:val="auto"/>
          <w:spacing w:val="-8"/>
          <w:sz w:val="32"/>
          <w:szCs w:val="32"/>
          <w:highlight w:val="none"/>
          <w:lang w:eastAsia="zh-CN"/>
        </w:rPr>
        <w:t>污水、</w:t>
      </w:r>
      <w:r>
        <w:rPr>
          <w:rFonts w:hint="eastAsia" w:ascii="仿宋" w:hAnsi="仿宋" w:eastAsia="仿宋" w:cs="仿宋"/>
          <w:color w:val="auto"/>
          <w:spacing w:val="-8"/>
          <w:sz w:val="32"/>
          <w:szCs w:val="32"/>
          <w:highlight w:val="none"/>
          <w:lang w:val="en-US" w:eastAsia="zh-CN"/>
        </w:rPr>
        <w:t>废水</w:t>
      </w:r>
      <w:r>
        <w:rPr>
          <w:rFonts w:hint="eastAsia" w:ascii="仿宋" w:hAnsi="仿宋" w:eastAsia="仿宋" w:cs="仿宋"/>
          <w:color w:val="auto"/>
          <w:spacing w:val="-8"/>
          <w:sz w:val="32"/>
          <w:szCs w:val="32"/>
          <w:highlight w:val="none"/>
          <w:lang w:eastAsia="zh-CN"/>
        </w:rPr>
        <w:t>处理量共计15820009</w:t>
      </w:r>
      <w:r>
        <w:rPr>
          <w:rFonts w:hint="eastAsia" w:ascii="仿宋" w:hAnsi="仿宋" w:eastAsia="仿宋" w:cs="仿宋"/>
          <w:color w:val="auto"/>
          <w:spacing w:val="-8"/>
          <w:sz w:val="32"/>
          <w:szCs w:val="32"/>
          <w:highlight w:val="none"/>
          <w:lang w:val="en-US" w:eastAsia="zh-CN"/>
        </w:rPr>
        <w:t>吨</w:t>
      </w:r>
      <w:r>
        <w:rPr>
          <w:rFonts w:hint="eastAsia" w:ascii="仿宋" w:hAnsi="仿宋" w:eastAsia="仿宋" w:cs="仿宋"/>
          <w:color w:val="auto"/>
          <w:spacing w:val="-8"/>
          <w:sz w:val="32"/>
          <w:szCs w:val="32"/>
          <w:highlight w:val="none"/>
          <w:lang w:eastAsia="zh-CN"/>
        </w:rPr>
        <w:t>，污水处理厂出水水质达到《城镇污水处理厂污染物排放标准》（GB18918-2002）一级A标准</w:t>
      </w:r>
      <w:r>
        <w:rPr>
          <w:rFonts w:hint="eastAsia" w:ascii="仿宋" w:hAnsi="仿宋" w:eastAsia="仿宋" w:cs="仿宋"/>
          <w:color w:val="auto"/>
          <w:spacing w:val="-8"/>
          <w:sz w:val="32"/>
          <w:szCs w:val="32"/>
          <w:highlight w:val="none"/>
          <w:lang w:val="en-US" w:eastAsia="zh-CN"/>
        </w:rPr>
        <w:t>，</w:t>
      </w:r>
      <w:r>
        <w:rPr>
          <w:rFonts w:hint="eastAsia" w:ascii="仿宋" w:hAnsi="仿宋" w:eastAsia="仿宋" w:cs="仿宋"/>
          <w:color w:val="auto"/>
          <w:spacing w:val="-8"/>
          <w:sz w:val="32"/>
          <w:szCs w:val="32"/>
          <w:highlight w:val="none"/>
          <w:lang w:eastAsia="zh-CN"/>
        </w:rPr>
        <w:t>废水处理厂出水水质达到《污水综合排放标准》（GB8978-1996）一级标准，全年水质</w:t>
      </w:r>
      <w:r>
        <w:rPr>
          <w:rFonts w:hint="eastAsia" w:ascii="仿宋" w:hAnsi="仿宋" w:eastAsia="仿宋" w:cs="仿宋"/>
          <w:color w:val="auto"/>
          <w:spacing w:val="-8"/>
          <w:sz w:val="32"/>
          <w:szCs w:val="32"/>
          <w:highlight w:val="none"/>
          <w:lang w:val="en-US" w:eastAsia="zh-CN"/>
        </w:rPr>
        <w:t>排放</w:t>
      </w:r>
      <w:r>
        <w:rPr>
          <w:rFonts w:hint="eastAsia" w:ascii="仿宋" w:hAnsi="仿宋" w:eastAsia="仿宋" w:cs="仿宋"/>
          <w:color w:val="auto"/>
          <w:spacing w:val="-8"/>
          <w:sz w:val="32"/>
          <w:szCs w:val="32"/>
          <w:highlight w:val="none"/>
          <w:lang w:eastAsia="zh-CN"/>
        </w:rPr>
        <w:t>达标率100%，未发生水质、设备、人身等安全事故，</w:t>
      </w:r>
      <w:r>
        <w:rPr>
          <w:rFonts w:hint="eastAsia" w:ascii="仿宋" w:hAnsi="仿宋" w:eastAsia="仿宋" w:cs="仿宋"/>
          <w:color w:val="auto"/>
          <w:spacing w:val="-8"/>
          <w:sz w:val="32"/>
          <w:szCs w:val="32"/>
          <w:highlight w:val="none"/>
          <w:lang w:val="en-US" w:eastAsia="zh-CN"/>
        </w:rPr>
        <w:t>项目运营期整体绩效目标基本得到实现。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08"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pacing w:val="-8"/>
          <w:sz w:val="32"/>
          <w:szCs w:val="32"/>
          <w:highlight w:val="none"/>
          <w:lang w:eastAsia="zh-CN"/>
        </w:rPr>
        <w:t>根据《</w:t>
      </w:r>
      <w:r>
        <w:rPr>
          <w:rFonts w:hint="eastAsia" w:ascii="仿宋" w:hAnsi="仿宋" w:eastAsia="仿宋" w:cs="仿宋"/>
          <w:color w:val="auto"/>
          <w:spacing w:val="-8"/>
          <w:sz w:val="32"/>
          <w:szCs w:val="32"/>
          <w:highlight w:val="none"/>
          <w:lang w:val="en-US" w:eastAsia="zh-CN"/>
        </w:rPr>
        <w:t>2018年6月-2022年12月</w:t>
      </w:r>
      <w:r>
        <w:rPr>
          <w:rFonts w:hint="eastAsia" w:ascii="仿宋" w:hAnsi="仿宋" w:eastAsia="仿宋" w:cs="仿宋"/>
          <w:color w:val="auto"/>
          <w:spacing w:val="-8"/>
          <w:sz w:val="32"/>
          <w:szCs w:val="32"/>
          <w:highlight w:val="none"/>
          <w:lang w:eastAsia="zh-CN"/>
        </w:rPr>
        <w:t>邵阳市</w:t>
      </w:r>
      <w:r>
        <w:rPr>
          <w:rFonts w:hint="eastAsia" w:ascii="仿宋" w:hAnsi="仿宋" w:eastAsia="仿宋" w:cs="仿宋"/>
          <w:color w:val="auto"/>
          <w:spacing w:val="-8"/>
          <w:sz w:val="32"/>
          <w:szCs w:val="32"/>
          <w:highlight w:val="none"/>
          <w:lang w:val="en-US" w:eastAsia="zh-CN"/>
        </w:rPr>
        <w:t>宝庆工业园集中区水务PPP项目</w:t>
      </w:r>
      <w:r>
        <w:rPr>
          <w:rFonts w:hint="eastAsia" w:ascii="仿宋" w:hAnsi="仿宋" w:eastAsia="仿宋" w:cs="仿宋"/>
          <w:color w:val="auto"/>
          <w:spacing w:val="-8"/>
          <w:sz w:val="32"/>
          <w:szCs w:val="32"/>
          <w:highlight w:val="none"/>
          <w:lang w:eastAsia="zh-CN"/>
        </w:rPr>
        <w:t>绩效评价指标》，经绩效评价组现场调查审核，会议讨论分析、</w:t>
      </w:r>
      <w:r>
        <w:rPr>
          <w:rFonts w:hint="eastAsia" w:ascii="仿宋" w:hAnsi="仿宋" w:eastAsia="仿宋" w:cs="仿宋"/>
          <w:color w:val="auto"/>
          <w:spacing w:val="-8"/>
          <w:sz w:val="32"/>
          <w:szCs w:val="32"/>
          <w:highlight w:val="none"/>
          <w:lang w:val="en-US" w:eastAsia="zh-CN"/>
        </w:rPr>
        <w:t>综合评</w:t>
      </w:r>
      <w:r>
        <w:rPr>
          <w:rFonts w:hint="eastAsia" w:ascii="仿宋" w:hAnsi="仿宋" w:eastAsia="仿宋" w:cs="仿宋"/>
          <w:color w:val="auto"/>
          <w:spacing w:val="-8"/>
          <w:sz w:val="32"/>
          <w:szCs w:val="32"/>
          <w:highlight w:val="none"/>
          <w:lang w:eastAsia="zh-CN"/>
        </w:rPr>
        <w:t>分，</w:t>
      </w:r>
      <w:r>
        <w:rPr>
          <w:rFonts w:hint="eastAsia" w:ascii="仿宋" w:hAnsi="仿宋" w:eastAsia="仿宋" w:cs="仿宋"/>
          <w:color w:val="auto"/>
          <w:spacing w:val="-8"/>
          <w:sz w:val="32"/>
          <w:szCs w:val="32"/>
          <w:highlight w:val="none"/>
          <w:lang w:val="en-US" w:eastAsia="zh-CN"/>
        </w:rPr>
        <w:t>宝工区水务PPP项目</w:t>
      </w:r>
      <w:r>
        <w:rPr>
          <w:rFonts w:hint="eastAsia" w:ascii="仿宋" w:hAnsi="仿宋" w:eastAsia="仿宋" w:cs="仿宋"/>
          <w:color w:val="auto"/>
          <w:spacing w:val="-8"/>
          <w:sz w:val="32"/>
          <w:szCs w:val="32"/>
          <w:highlight w:val="none"/>
          <w:lang w:eastAsia="zh-CN"/>
        </w:rPr>
        <w:t>共计得分8</w:t>
      </w:r>
      <w:r>
        <w:rPr>
          <w:rFonts w:hint="eastAsia" w:ascii="仿宋" w:hAnsi="仿宋" w:eastAsia="仿宋" w:cs="仿宋"/>
          <w:color w:val="auto"/>
          <w:spacing w:val="-8"/>
          <w:sz w:val="32"/>
          <w:szCs w:val="32"/>
          <w:highlight w:val="none"/>
          <w:lang w:val="en-US" w:eastAsia="zh-CN"/>
        </w:rPr>
        <w:t>1</w:t>
      </w:r>
      <w:r>
        <w:rPr>
          <w:rFonts w:hint="eastAsia" w:ascii="仿宋" w:hAnsi="仿宋" w:eastAsia="仿宋" w:cs="仿宋"/>
          <w:color w:val="auto"/>
          <w:spacing w:val="-8"/>
          <w:sz w:val="32"/>
          <w:szCs w:val="32"/>
          <w:highlight w:val="none"/>
          <w:lang w:eastAsia="zh-CN"/>
        </w:rPr>
        <w:t>分，绩效评价</w:t>
      </w:r>
      <w:r>
        <w:rPr>
          <w:rFonts w:hint="eastAsia" w:ascii="仿宋" w:hAnsi="仿宋" w:eastAsia="仿宋" w:cs="仿宋"/>
          <w:color w:val="auto"/>
          <w:spacing w:val="-8"/>
          <w:sz w:val="32"/>
          <w:szCs w:val="32"/>
          <w:highlight w:val="none"/>
          <w:lang w:val="en-US" w:eastAsia="zh-CN"/>
        </w:rPr>
        <w:t>等级</w:t>
      </w:r>
      <w:r>
        <w:rPr>
          <w:rFonts w:hint="eastAsia" w:ascii="仿宋" w:hAnsi="仿宋" w:eastAsia="仿宋" w:cs="仿宋"/>
          <w:color w:val="auto"/>
          <w:spacing w:val="-8"/>
          <w:sz w:val="32"/>
          <w:szCs w:val="32"/>
          <w:highlight w:val="none"/>
          <w:lang w:eastAsia="zh-CN"/>
        </w:rPr>
        <w:t>为“良”</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outlineLvl w:val="0"/>
        <w:rPr>
          <w:rFonts w:hint="eastAsia" w:ascii="黑体" w:hAnsi="黑体" w:eastAsia="黑体" w:cs="黑体"/>
          <w:color w:val="auto"/>
          <w:kern w:val="0"/>
          <w:sz w:val="32"/>
          <w:szCs w:val="32"/>
          <w:highlight w:val="none"/>
          <w:lang w:eastAsia="zh-CN"/>
        </w:rPr>
      </w:pPr>
      <w:bookmarkStart w:id="21" w:name="_Toc27541"/>
      <w:bookmarkStart w:id="22" w:name="_Toc5456"/>
      <w:r>
        <w:rPr>
          <w:rFonts w:hint="eastAsia" w:ascii="黑体" w:hAnsi="黑体" w:eastAsia="黑体" w:cs="黑体"/>
          <w:color w:val="auto"/>
          <w:kern w:val="0"/>
          <w:sz w:val="32"/>
          <w:szCs w:val="32"/>
          <w:highlight w:val="none"/>
          <w:lang w:eastAsia="zh-CN"/>
        </w:rPr>
        <w:t>四</w:t>
      </w:r>
      <w:r>
        <w:rPr>
          <w:rFonts w:hint="eastAsia" w:ascii="黑体" w:hAnsi="黑体" w:eastAsia="黑体" w:cs="黑体"/>
          <w:color w:val="auto"/>
          <w:kern w:val="0"/>
          <w:sz w:val="32"/>
          <w:szCs w:val="32"/>
          <w:highlight w:val="none"/>
        </w:rPr>
        <w:t>、</w:t>
      </w:r>
      <w:r>
        <w:rPr>
          <w:rFonts w:hint="eastAsia" w:ascii="黑体" w:hAnsi="黑体" w:eastAsia="黑体" w:cs="黑体"/>
          <w:color w:val="auto"/>
          <w:kern w:val="0"/>
          <w:sz w:val="32"/>
          <w:szCs w:val="32"/>
          <w:highlight w:val="none"/>
          <w:lang w:eastAsia="zh-CN"/>
        </w:rPr>
        <w:t>绩效评价指标分析</w:t>
      </w:r>
      <w:bookmarkEnd w:id="21"/>
      <w:bookmarkEnd w:id="22"/>
    </w:p>
    <w:p>
      <w:pPr>
        <w:keepNext w:val="0"/>
        <w:keepLines w:val="0"/>
        <w:pageBreakBefore w:val="0"/>
        <w:widowControl w:val="0"/>
        <w:kinsoku/>
        <w:wordWrap/>
        <w:overflowPunct/>
        <w:topLinePunct w:val="0"/>
        <w:autoSpaceDE/>
        <w:autoSpaceDN/>
        <w:bidi w:val="0"/>
        <w:adjustRightInd/>
        <w:snapToGrid/>
        <w:spacing w:line="240" w:lineRule="auto"/>
        <w:ind w:left="0" w:leftChars="0" w:firstLine="608" w:firstLineChars="200"/>
        <w:textAlignment w:val="auto"/>
        <w:outlineLvl w:val="1"/>
        <w:rPr>
          <w:rFonts w:hint="eastAsia" w:ascii="仿宋" w:hAnsi="仿宋" w:eastAsia="仿宋" w:cs="仿宋"/>
          <w:b w:val="0"/>
          <w:bCs w:val="0"/>
          <w:color w:val="auto"/>
          <w:sz w:val="32"/>
          <w:szCs w:val="32"/>
          <w:highlight w:val="none"/>
          <w:lang w:val="en-US" w:eastAsia="zh-CN"/>
        </w:rPr>
      </w:pPr>
      <w:bookmarkStart w:id="23" w:name="_Toc29851"/>
      <w:bookmarkStart w:id="24" w:name="_Toc1692"/>
      <w:bookmarkStart w:id="25" w:name="_Toc26560"/>
      <w:r>
        <w:rPr>
          <w:rFonts w:hint="eastAsia" w:ascii="仿宋" w:hAnsi="仿宋" w:eastAsia="仿宋" w:cs="仿宋"/>
          <w:color w:val="auto"/>
          <w:spacing w:val="-8"/>
          <w:sz w:val="32"/>
          <w:szCs w:val="32"/>
          <w:highlight w:val="none"/>
        </w:rPr>
        <w:t>项目</w:t>
      </w:r>
      <w:r>
        <w:rPr>
          <w:rFonts w:hint="eastAsia" w:ascii="仿宋" w:hAnsi="仿宋" w:eastAsia="仿宋" w:cs="仿宋"/>
          <w:color w:val="auto"/>
          <w:spacing w:val="-8"/>
          <w:sz w:val="32"/>
          <w:szCs w:val="32"/>
          <w:highlight w:val="none"/>
          <w:lang w:val="en-US" w:eastAsia="zh-CN"/>
        </w:rPr>
        <w:t>绩效</w:t>
      </w:r>
      <w:r>
        <w:rPr>
          <w:rFonts w:hint="eastAsia" w:ascii="仿宋" w:hAnsi="仿宋" w:eastAsia="仿宋" w:cs="仿宋"/>
          <w:color w:val="auto"/>
          <w:spacing w:val="-8"/>
          <w:sz w:val="32"/>
          <w:szCs w:val="32"/>
          <w:highlight w:val="none"/>
        </w:rPr>
        <w:t>评价指标按</w:t>
      </w:r>
      <w:r>
        <w:rPr>
          <w:rFonts w:hint="eastAsia" w:ascii="仿宋" w:hAnsi="仿宋" w:eastAsia="仿宋" w:cs="仿宋"/>
          <w:color w:val="auto"/>
          <w:spacing w:val="-8"/>
          <w:sz w:val="32"/>
          <w:szCs w:val="32"/>
          <w:highlight w:val="none"/>
          <w:lang w:eastAsia="zh-CN"/>
        </w:rPr>
        <w:t>决策</w:t>
      </w:r>
      <w:r>
        <w:rPr>
          <w:rFonts w:hint="eastAsia" w:ascii="仿宋" w:hAnsi="仿宋" w:eastAsia="仿宋" w:cs="仿宋"/>
          <w:color w:val="auto"/>
          <w:spacing w:val="-8"/>
          <w:sz w:val="32"/>
          <w:szCs w:val="32"/>
          <w:highlight w:val="none"/>
        </w:rPr>
        <w:t>、过程、产出</w:t>
      </w:r>
      <w:r>
        <w:rPr>
          <w:rFonts w:hint="eastAsia" w:ascii="仿宋" w:hAnsi="仿宋" w:eastAsia="仿宋" w:cs="仿宋"/>
          <w:color w:val="auto"/>
          <w:spacing w:val="-8"/>
          <w:sz w:val="32"/>
          <w:szCs w:val="32"/>
          <w:highlight w:val="none"/>
          <w:lang w:val="en-US" w:eastAsia="zh-CN"/>
        </w:rPr>
        <w:t>与效益四</w:t>
      </w:r>
      <w:r>
        <w:rPr>
          <w:rFonts w:hint="eastAsia" w:ascii="仿宋" w:hAnsi="仿宋" w:eastAsia="仿宋" w:cs="仿宋"/>
          <w:color w:val="auto"/>
          <w:spacing w:val="-8"/>
          <w:sz w:val="32"/>
          <w:szCs w:val="32"/>
          <w:highlight w:val="none"/>
        </w:rPr>
        <w:t>个方面以百分制集体打分方式进行具体细分评价</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rPr>
        <w:t>其中：</w:t>
      </w:r>
      <w:r>
        <w:rPr>
          <w:rFonts w:hint="eastAsia" w:ascii="仿宋" w:hAnsi="仿宋" w:eastAsia="仿宋" w:cs="仿宋"/>
          <w:color w:val="auto"/>
          <w:spacing w:val="-8"/>
          <w:sz w:val="32"/>
          <w:szCs w:val="32"/>
          <w:highlight w:val="none"/>
          <w:lang w:eastAsia="zh-CN"/>
        </w:rPr>
        <w:t>决策标准分</w:t>
      </w:r>
      <w:r>
        <w:rPr>
          <w:rFonts w:hint="eastAsia" w:ascii="仿宋" w:hAnsi="仿宋" w:eastAsia="仿宋" w:cs="仿宋"/>
          <w:color w:val="auto"/>
          <w:spacing w:val="-8"/>
          <w:sz w:val="32"/>
          <w:szCs w:val="32"/>
          <w:highlight w:val="none"/>
          <w:lang w:val="en-US" w:eastAsia="zh-CN"/>
        </w:rPr>
        <w:t>10分、</w:t>
      </w:r>
      <w:r>
        <w:rPr>
          <w:rFonts w:hint="eastAsia" w:ascii="仿宋" w:hAnsi="仿宋" w:eastAsia="仿宋" w:cs="仿宋"/>
          <w:color w:val="auto"/>
          <w:spacing w:val="-8"/>
          <w:sz w:val="32"/>
          <w:szCs w:val="32"/>
          <w:highlight w:val="none"/>
          <w:lang w:eastAsia="zh-CN"/>
        </w:rPr>
        <w:t>得</w:t>
      </w:r>
      <w:r>
        <w:rPr>
          <w:rFonts w:hint="eastAsia" w:ascii="仿宋" w:hAnsi="仿宋" w:eastAsia="仿宋" w:cs="仿宋"/>
          <w:color w:val="auto"/>
          <w:spacing w:val="-8"/>
          <w:sz w:val="32"/>
          <w:szCs w:val="32"/>
          <w:highlight w:val="none"/>
        </w:rPr>
        <w:t>分</w:t>
      </w:r>
      <w:r>
        <w:rPr>
          <w:rFonts w:hint="eastAsia" w:ascii="仿宋" w:hAnsi="仿宋" w:eastAsia="仿宋" w:cs="仿宋"/>
          <w:color w:val="auto"/>
          <w:spacing w:val="-8"/>
          <w:sz w:val="32"/>
          <w:szCs w:val="32"/>
          <w:highlight w:val="none"/>
          <w:lang w:val="en-US" w:eastAsia="zh-CN"/>
        </w:rPr>
        <w:t>6</w:t>
      </w:r>
      <w:r>
        <w:rPr>
          <w:rFonts w:hint="eastAsia" w:ascii="仿宋" w:hAnsi="仿宋" w:eastAsia="仿宋" w:cs="仿宋"/>
          <w:color w:val="auto"/>
          <w:spacing w:val="-8"/>
          <w:sz w:val="32"/>
          <w:szCs w:val="32"/>
          <w:highlight w:val="none"/>
        </w:rPr>
        <w:t>分</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过程标准分27分、得分20分</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rPr>
        <w:t>产出</w:t>
      </w:r>
      <w:r>
        <w:rPr>
          <w:rFonts w:hint="eastAsia" w:ascii="仿宋" w:hAnsi="仿宋" w:eastAsia="仿宋" w:cs="仿宋"/>
          <w:color w:val="auto"/>
          <w:spacing w:val="-8"/>
          <w:sz w:val="32"/>
          <w:szCs w:val="32"/>
          <w:highlight w:val="none"/>
          <w:lang w:eastAsia="zh-CN"/>
        </w:rPr>
        <w:t>标准分</w:t>
      </w:r>
      <w:r>
        <w:rPr>
          <w:rFonts w:hint="eastAsia" w:ascii="仿宋" w:hAnsi="仿宋" w:eastAsia="仿宋" w:cs="仿宋"/>
          <w:color w:val="auto"/>
          <w:spacing w:val="-8"/>
          <w:sz w:val="32"/>
          <w:szCs w:val="32"/>
          <w:highlight w:val="none"/>
          <w:lang w:val="en-US" w:eastAsia="zh-CN"/>
        </w:rPr>
        <w:t>26分，得分22分，效益标准分37分、得分33</w:t>
      </w:r>
      <w:r>
        <w:rPr>
          <w:rFonts w:hint="eastAsia" w:ascii="仿宋" w:hAnsi="仿宋" w:eastAsia="仿宋" w:cs="仿宋"/>
          <w:color w:val="auto"/>
          <w:spacing w:val="-8"/>
          <w:sz w:val="32"/>
          <w:szCs w:val="32"/>
          <w:highlight w:val="none"/>
        </w:rPr>
        <w:t>分。</w:t>
      </w:r>
      <w:r>
        <w:rPr>
          <w:rFonts w:hint="eastAsia" w:ascii="仿宋" w:hAnsi="仿宋" w:eastAsia="仿宋" w:cs="仿宋"/>
          <w:color w:val="auto"/>
          <w:spacing w:val="-8"/>
          <w:sz w:val="32"/>
          <w:szCs w:val="32"/>
          <w:highlight w:val="none"/>
          <w:lang w:val="en-US" w:eastAsia="zh-CN"/>
        </w:rPr>
        <w:t>评分结果：81分</w:t>
      </w:r>
      <w:bookmarkEnd w:id="23"/>
      <w:r>
        <w:rPr>
          <w:rFonts w:hint="eastAsia" w:ascii="仿宋" w:hAnsi="仿宋" w:eastAsia="仿宋" w:cs="仿宋"/>
          <w:color w:val="auto"/>
          <w:spacing w:val="-8"/>
          <w:sz w:val="32"/>
          <w:szCs w:val="32"/>
          <w:highlight w:val="none"/>
          <w:lang w:val="en-US" w:eastAsia="zh-CN"/>
        </w:rPr>
        <w:t>。</w:t>
      </w:r>
      <w:bookmarkEnd w:id="24"/>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26" w:name="_Toc23057"/>
      <w:r>
        <w:rPr>
          <w:rFonts w:hint="eastAsia" w:ascii="楷体" w:hAnsi="楷体" w:eastAsia="楷体" w:cs="楷体"/>
          <w:b/>
          <w:bCs/>
          <w:color w:val="auto"/>
          <w:sz w:val="32"/>
          <w:szCs w:val="32"/>
          <w:highlight w:val="none"/>
          <w:lang w:val="en-US" w:eastAsia="zh-CN"/>
        </w:rPr>
        <w:t>(一)项目决策情况</w:t>
      </w:r>
      <w:bookmarkEnd w:id="25"/>
      <w:bookmarkEnd w:id="26"/>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项目决策标准分10分，得分6分，扣4分。具体情况如下：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立项是根据湖南省环境保护厅办公室发文《关于推进工业园区污水集中处理设施建设工作的通知》（湘环办函〔2016〕158号）和邵阳市人民政府办公室发文《关于印发&lt;邵阳市2017年度水污染防治行动计划实施方案&gt;的通知》（邵市办函〔2017〕82号），取得或办理了用地规划、可研批复、环评、初步设计批复、预算评审等手续。项目属于边建边批，办理初步设计批复、预算评审等手续的时间滞后扣2分。项目未设置绩效目标，且由于项目绩效目标不明，未能根据项目绩效目标设置具体、可量化、明晰的绩效指标，扣2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1"/>
        <w:rPr>
          <w:rFonts w:hint="eastAsia" w:ascii="楷体" w:hAnsi="楷体" w:eastAsia="楷体" w:cs="楷体"/>
          <w:b/>
          <w:bCs/>
          <w:color w:val="auto"/>
          <w:sz w:val="32"/>
          <w:szCs w:val="32"/>
          <w:highlight w:val="none"/>
          <w:lang w:val="en-US" w:eastAsia="zh-CN"/>
        </w:rPr>
      </w:pPr>
      <w:bookmarkStart w:id="27" w:name="_Toc18900"/>
      <w:r>
        <w:rPr>
          <w:rFonts w:hint="eastAsia" w:ascii="楷体" w:hAnsi="楷体" w:eastAsia="楷体" w:cs="楷体"/>
          <w:b/>
          <w:bCs/>
          <w:color w:val="auto"/>
          <w:sz w:val="32"/>
          <w:szCs w:val="32"/>
          <w:highlight w:val="none"/>
          <w:lang w:val="en-US" w:eastAsia="zh-CN"/>
        </w:rPr>
        <w:t>(二)项目过程情况</w:t>
      </w:r>
      <w:bookmarkEnd w:id="27"/>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项目过程标准分</w:t>
      </w:r>
      <w:r>
        <w:rPr>
          <w:rFonts w:hint="eastAsia" w:ascii="仿宋" w:hAnsi="仿宋" w:eastAsia="仿宋" w:cs="仿宋"/>
          <w:color w:val="auto"/>
          <w:spacing w:val="-8"/>
          <w:sz w:val="32"/>
          <w:szCs w:val="32"/>
          <w:highlight w:val="none"/>
          <w:lang w:val="en-US" w:eastAsia="zh-CN"/>
        </w:rPr>
        <w:t>过程标准分27分、得分20分，扣7分</w:t>
      </w:r>
      <w:r>
        <w:rPr>
          <w:rFonts w:hint="eastAsia" w:ascii="仿宋" w:hAnsi="仿宋" w:eastAsia="仿宋" w:cs="仿宋"/>
          <w:b w:val="0"/>
          <w:bCs w:val="0"/>
          <w:color w:val="auto"/>
          <w:sz w:val="32"/>
          <w:szCs w:val="32"/>
          <w:highlight w:val="none"/>
          <w:lang w:val="en-US" w:eastAsia="zh-CN"/>
        </w:rPr>
        <w:t>。具体情况如下：</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eastAsia" w:ascii="仿宋" w:hAnsi="仿宋" w:eastAsia="仿宋" w:cs="仿宋"/>
          <w:b/>
          <w:bCs/>
          <w:color w:val="auto"/>
          <w:sz w:val="32"/>
          <w:szCs w:val="32"/>
          <w:highlight w:val="none"/>
          <w:lang w:val="en-US" w:eastAsia="zh-CN"/>
        </w:rPr>
      </w:pPr>
      <w:bookmarkStart w:id="28" w:name="_Toc23446"/>
      <w:r>
        <w:rPr>
          <w:rFonts w:hint="eastAsia" w:ascii="仿宋" w:hAnsi="仿宋" w:eastAsia="仿宋" w:cs="仿宋"/>
          <w:b/>
          <w:bCs/>
          <w:color w:val="auto"/>
          <w:sz w:val="32"/>
          <w:szCs w:val="32"/>
          <w:highlight w:val="none"/>
          <w:lang w:val="en-US" w:eastAsia="zh-CN"/>
        </w:rPr>
        <w:t>1.项目资金管理</w:t>
      </w:r>
      <w:bookmarkEnd w:id="28"/>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的社会资本金和和政府资本金实际投入到位，经第三方中介机构出具了验资报告，融资资金也在运营期到位，2018年6月-2022年12月财政拨款污水处理费5505.14万元在项目运行期间陆继到位，资金按企业会计制度合理用于项目公司的日常开支，各年度财务报表经会计师事务所审计合格，但在设备采购中未落实监控措施，扣1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eastAsia" w:ascii="仿宋" w:hAnsi="仿宋" w:eastAsia="仿宋" w:cs="仿宋"/>
          <w:b/>
          <w:bCs/>
          <w:color w:val="auto"/>
          <w:sz w:val="32"/>
          <w:szCs w:val="32"/>
          <w:highlight w:val="none"/>
          <w:lang w:val="en-US" w:eastAsia="zh-CN"/>
        </w:rPr>
      </w:pPr>
      <w:bookmarkStart w:id="29" w:name="_Toc25819"/>
      <w:r>
        <w:rPr>
          <w:rFonts w:hint="eastAsia" w:ascii="仿宋" w:hAnsi="仿宋" w:eastAsia="仿宋" w:cs="仿宋"/>
          <w:b/>
          <w:bCs/>
          <w:color w:val="auto"/>
          <w:sz w:val="32"/>
          <w:szCs w:val="32"/>
          <w:highlight w:val="none"/>
          <w:lang w:val="en-US" w:eastAsia="zh-CN"/>
        </w:rPr>
        <w:t>2.项目实施</w:t>
      </w:r>
      <w:bookmarkEnd w:id="29"/>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b w:val="0"/>
          <w:bCs w:val="0"/>
          <w:color w:val="auto"/>
          <w:spacing w:val="-8"/>
          <w:sz w:val="32"/>
          <w:szCs w:val="32"/>
          <w:highlight w:val="none"/>
          <w:lang w:val="en-US" w:eastAsia="zh-CN"/>
        </w:rPr>
      </w:pPr>
      <w:r>
        <w:rPr>
          <w:rFonts w:hint="eastAsia" w:ascii="仿宋" w:hAnsi="仿宋" w:eastAsia="仿宋" w:cs="仿宋"/>
          <w:color w:val="auto"/>
          <w:spacing w:val="-8"/>
          <w:sz w:val="32"/>
          <w:szCs w:val="32"/>
          <w:highlight w:val="none"/>
          <w:lang w:val="en-US" w:eastAsia="zh-CN"/>
        </w:rPr>
        <w:t>邵阳经开碧水源水务有限公司</w:t>
      </w:r>
      <w:r>
        <w:rPr>
          <w:rFonts w:hint="eastAsia" w:ascii="仿宋" w:hAnsi="仿宋" w:eastAsia="仿宋" w:cs="仿宋"/>
          <w:b w:val="0"/>
          <w:bCs w:val="0"/>
          <w:color w:val="auto"/>
          <w:sz w:val="32"/>
          <w:szCs w:val="32"/>
          <w:highlight w:val="none"/>
          <w:lang w:val="en-US" w:eastAsia="zh-CN"/>
        </w:rPr>
        <w:t>制定了有关财务管理、生产管理、设备管理、质量监控等方面的制度并予以执行，委托专业的环保技术公司采用自动检测设备每2小时实时在线监控污水处理各环节水质状况，并每月委托独立的第三方检测机构并出具检测报告，每年对主要设备进行4次维护保养，项目建设期执行了政府采购程序，完工后办理了工程竣工验收手续</w:t>
      </w:r>
      <w:r>
        <w:rPr>
          <w:rFonts w:hint="eastAsia" w:ascii="仿宋" w:hAnsi="仿宋" w:eastAsia="仿宋" w:cs="仿宋"/>
          <w:color w:val="auto"/>
          <w:sz w:val="32"/>
          <w:szCs w:val="32"/>
          <w:highlight w:val="none"/>
          <w:lang w:val="en-US" w:eastAsia="zh-CN"/>
        </w:rPr>
        <w:t>。但在设备采购时未按制度公开招标或竞标，扣2分。未按法律规定在发出成交通知书的30日内签订政府采购合同，扣2分。办理工程建设项目竣工验收手续时间滞后扣1分，未完成项目竣工决算工作扣1分。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1"/>
        <w:rPr>
          <w:rFonts w:hint="eastAsia" w:ascii="楷体" w:hAnsi="楷体" w:eastAsia="楷体" w:cs="楷体"/>
          <w:b/>
          <w:bCs/>
          <w:color w:val="auto"/>
          <w:spacing w:val="-8"/>
          <w:sz w:val="32"/>
          <w:szCs w:val="32"/>
          <w:highlight w:val="none"/>
          <w:lang w:val="en-US" w:eastAsia="zh-CN"/>
        </w:rPr>
      </w:pPr>
      <w:bookmarkStart w:id="30" w:name="_Toc10335"/>
      <w:r>
        <w:rPr>
          <w:rFonts w:hint="eastAsia" w:ascii="楷体" w:hAnsi="楷体" w:eastAsia="楷体" w:cs="楷体"/>
          <w:b/>
          <w:bCs/>
          <w:color w:val="auto"/>
          <w:spacing w:val="-8"/>
          <w:sz w:val="32"/>
          <w:szCs w:val="32"/>
          <w:highlight w:val="none"/>
          <w:lang w:val="en-US" w:eastAsia="zh-CN"/>
        </w:rPr>
        <w:t>(三)项目产出情况</w:t>
      </w:r>
      <w:bookmarkEnd w:id="30"/>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项目产出标准分</w:t>
      </w:r>
      <w:r>
        <w:rPr>
          <w:rFonts w:hint="eastAsia" w:ascii="仿宋" w:hAnsi="仿宋" w:eastAsia="仿宋" w:cs="仿宋"/>
          <w:color w:val="auto"/>
          <w:spacing w:val="-8"/>
          <w:sz w:val="32"/>
          <w:szCs w:val="32"/>
          <w:highlight w:val="none"/>
          <w:lang w:val="en-US" w:eastAsia="zh-CN"/>
        </w:rPr>
        <w:t>26分，得分22分，</w:t>
      </w:r>
      <w:r>
        <w:rPr>
          <w:rFonts w:hint="eastAsia" w:ascii="仿宋" w:hAnsi="仿宋" w:eastAsia="仿宋" w:cs="仿宋"/>
          <w:b w:val="0"/>
          <w:bCs w:val="0"/>
          <w:color w:val="auto"/>
          <w:sz w:val="32"/>
          <w:szCs w:val="32"/>
          <w:highlight w:val="none"/>
          <w:lang w:val="en-US" w:eastAsia="zh-CN"/>
        </w:rPr>
        <w:t>扣4分。具体情况如下：</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2"/>
        <w:rPr>
          <w:rFonts w:hint="eastAsia" w:ascii="仿宋" w:hAnsi="仿宋" w:eastAsia="仿宋" w:cs="仿宋"/>
          <w:b/>
          <w:bCs/>
          <w:color w:val="auto"/>
          <w:spacing w:val="-8"/>
          <w:sz w:val="32"/>
          <w:szCs w:val="32"/>
          <w:highlight w:val="none"/>
          <w:lang w:val="en-US" w:eastAsia="zh-CN"/>
        </w:rPr>
      </w:pPr>
      <w:bookmarkStart w:id="31" w:name="_Toc12045"/>
      <w:r>
        <w:rPr>
          <w:rFonts w:hint="eastAsia" w:ascii="仿宋" w:hAnsi="仿宋" w:eastAsia="仿宋" w:cs="仿宋"/>
          <w:b/>
          <w:bCs/>
          <w:color w:val="auto"/>
          <w:spacing w:val="-8"/>
          <w:sz w:val="32"/>
          <w:szCs w:val="32"/>
          <w:highlight w:val="none"/>
          <w:lang w:val="en-US" w:eastAsia="zh-CN"/>
        </w:rPr>
        <w:t>1.产出数量</w:t>
      </w:r>
      <w:bookmarkEnd w:id="31"/>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发制品产业园废水处理厂于2018年3月15日、进站路污水处理厂于2018年6月1日进入商业试运营期。2018年6月-2022年12月运营期运行平均服务天数达到1714天，进站路污水处理厂实际污水处理量14748980立方米，发制品产业园废水处理厂实际污水处理量1071029立方米，两个污水、废水处理厂运行负荷率分别为44.1%和30.6%，未达到设计能力的75%，扣2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2"/>
        <w:rPr>
          <w:rFonts w:hint="eastAsia" w:ascii="仿宋" w:hAnsi="仿宋" w:eastAsia="仿宋" w:cs="仿宋"/>
          <w:b/>
          <w:bCs/>
          <w:color w:val="auto"/>
          <w:spacing w:val="-8"/>
          <w:sz w:val="32"/>
          <w:szCs w:val="32"/>
          <w:highlight w:val="none"/>
          <w:lang w:val="en-US" w:eastAsia="zh-CN"/>
        </w:rPr>
      </w:pPr>
      <w:bookmarkStart w:id="32" w:name="_Toc6597"/>
      <w:r>
        <w:rPr>
          <w:rFonts w:hint="eastAsia" w:ascii="仿宋" w:hAnsi="仿宋" w:eastAsia="仿宋" w:cs="仿宋"/>
          <w:b/>
          <w:bCs/>
          <w:color w:val="auto"/>
          <w:spacing w:val="-8"/>
          <w:sz w:val="32"/>
          <w:szCs w:val="32"/>
          <w:highlight w:val="none"/>
          <w:lang w:val="en-US" w:eastAsia="zh-CN"/>
        </w:rPr>
        <w:t>2.产出质量</w:t>
      </w:r>
      <w:bookmarkEnd w:id="32"/>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污水处理厂和废水处理厂建设工程于2020年4月24日经验收合格，运营期出水水质排放达标率100%，分别达到《城镇污水处理厂污染物排放标准》（GB18918-2002）一级A标准、《污水综合排放标准》（GB8978-1996）一级标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2"/>
        <w:rPr>
          <w:rFonts w:hint="eastAsia" w:ascii="仿宋" w:hAnsi="仿宋" w:eastAsia="仿宋" w:cs="仿宋"/>
          <w:b/>
          <w:bCs/>
          <w:color w:val="auto"/>
          <w:sz w:val="32"/>
          <w:szCs w:val="32"/>
          <w:highlight w:val="none"/>
          <w:lang w:val="en-US" w:eastAsia="zh-CN"/>
        </w:rPr>
      </w:pPr>
      <w:bookmarkStart w:id="33" w:name="_Toc17925"/>
      <w:r>
        <w:rPr>
          <w:rFonts w:hint="eastAsia" w:ascii="仿宋" w:hAnsi="仿宋" w:eastAsia="仿宋" w:cs="仿宋"/>
          <w:b/>
          <w:bCs/>
          <w:color w:val="auto"/>
          <w:sz w:val="32"/>
          <w:szCs w:val="32"/>
          <w:highlight w:val="none"/>
          <w:lang w:val="en-US" w:eastAsia="zh-CN"/>
        </w:rPr>
        <w:t>3.产出成本</w:t>
      </w:r>
      <w:bookmarkEnd w:id="33"/>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进站路污水处理厂单位运行成本2.09元/立方米，单位电耗0.33元/立方米; 发制品废水处理厂单位运行成本18.25元/立方米，单位电耗2.02元/立方米。实际单位运行成本高于协议单价（进站路污水处理费协议单价1.29元/立方米,发制品废水处理费协议单价8.57元/立方米），扣2分。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2"/>
        <w:rPr>
          <w:rFonts w:hint="eastAsia" w:ascii="仿宋" w:hAnsi="仿宋" w:eastAsia="仿宋" w:cs="仿宋"/>
          <w:b/>
          <w:bCs/>
          <w:color w:val="auto"/>
          <w:sz w:val="32"/>
          <w:szCs w:val="32"/>
          <w:highlight w:val="none"/>
          <w:lang w:val="en-US" w:eastAsia="zh-CN"/>
        </w:rPr>
      </w:pPr>
      <w:bookmarkStart w:id="34" w:name="_Toc506"/>
      <w:r>
        <w:rPr>
          <w:rFonts w:hint="eastAsia" w:ascii="仿宋" w:hAnsi="仿宋" w:eastAsia="仿宋" w:cs="仿宋"/>
          <w:b/>
          <w:bCs/>
          <w:color w:val="auto"/>
          <w:sz w:val="32"/>
          <w:szCs w:val="32"/>
          <w:highlight w:val="none"/>
          <w:lang w:val="en-US" w:eastAsia="zh-CN"/>
        </w:rPr>
        <w:t>4.产出时效</w:t>
      </w:r>
      <w:bookmarkEnd w:id="34"/>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2018年6月-2022年12月运行服务达标排放平均天数1714天，按时按质完成污水处理。</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1"/>
        <w:rPr>
          <w:rFonts w:hint="eastAsia" w:ascii="楷体" w:hAnsi="楷体" w:eastAsia="楷体" w:cs="楷体"/>
          <w:b/>
          <w:bCs/>
          <w:color w:val="auto"/>
          <w:sz w:val="32"/>
          <w:szCs w:val="32"/>
          <w:highlight w:val="none"/>
          <w:lang w:val="en-US" w:eastAsia="zh-CN"/>
        </w:rPr>
      </w:pPr>
      <w:bookmarkStart w:id="35" w:name="_Toc12690"/>
      <w:bookmarkStart w:id="36" w:name="_Toc14890"/>
      <w:r>
        <w:rPr>
          <w:rFonts w:hint="eastAsia" w:ascii="楷体" w:hAnsi="楷体" w:eastAsia="楷体" w:cs="楷体"/>
          <w:b/>
          <w:bCs/>
          <w:color w:val="auto"/>
          <w:sz w:val="32"/>
          <w:szCs w:val="32"/>
          <w:highlight w:val="none"/>
          <w:lang w:val="en-US" w:eastAsia="zh-CN"/>
        </w:rPr>
        <w:t>(四)项目效益情况</w:t>
      </w:r>
      <w:bookmarkEnd w:id="35"/>
      <w:bookmarkEnd w:id="36"/>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项目</w:t>
      </w:r>
      <w:r>
        <w:rPr>
          <w:rFonts w:hint="eastAsia" w:ascii="仿宋" w:hAnsi="仿宋" w:eastAsia="仿宋" w:cs="仿宋"/>
          <w:color w:val="auto"/>
          <w:spacing w:val="-8"/>
          <w:sz w:val="32"/>
          <w:szCs w:val="32"/>
          <w:highlight w:val="none"/>
          <w:lang w:val="en-US" w:eastAsia="zh-CN"/>
        </w:rPr>
        <w:t>效益标准分37分、得分33</w:t>
      </w:r>
      <w:r>
        <w:rPr>
          <w:rFonts w:hint="eastAsia" w:ascii="仿宋" w:hAnsi="仿宋" w:eastAsia="仿宋" w:cs="仿宋"/>
          <w:color w:val="auto"/>
          <w:spacing w:val="-8"/>
          <w:sz w:val="32"/>
          <w:szCs w:val="32"/>
          <w:highlight w:val="none"/>
        </w:rPr>
        <w:t>分</w:t>
      </w:r>
      <w:r>
        <w:rPr>
          <w:rFonts w:hint="eastAsia" w:ascii="仿宋" w:hAnsi="仿宋" w:eastAsia="仿宋" w:cs="仿宋"/>
          <w:color w:val="auto"/>
          <w:spacing w:val="-8"/>
          <w:sz w:val="32"/>
          <w:szCs w:val="32"/>
          <w:highlight w:val="none"/>
          <w:lang w:eastAsia="zh-CN"/>
        </w:rPr>
        <w:t>，</w:t>
      </w:r>
      <w:r>
        <w:rPr>
          <w:rFonts w:hint="eastAsia" w:ascii="仿宋" w:hAnsi="仿宋" w:eastAsia="仿宋" w:cs="仿宋"/>
          <w:color w:val="auto"/>
          <w:spacing w:val="-8"/>
          <w:sz w:val="32"/>
          <w:szCs w:val="32"/>
          <w:highlight w:val="none"/>
          <w:lang w:val="en-US" w:eastAsia="zh-CN"/>
        </w:rPr>
        <w:t>扣分4分</w:t>
      </w:r>
      <w:r>
        <w:rPr>
          <w:rFonts w:hint="eastAsia" w:ascii="仿宋" w:hAnsi="仿宋" w:eastAsia="仿宋" w:cs="仿宋"/>
          <w:color w:val="auto"/>
          <w:sz w:val="32"/>
          <w:szCs w:val="32"/>
          <w:highlight w:val="none"/>
          <w:lang w:val="en-US" w:eastAsia="zh-CN"/>
        </w:rPr>
        <w:t>。扣分事项包括：经济效益方面，运行成本偏高超过协议结算价格、污水处理厂运行负荷率偏低未达到设计标准，扣2分。环境效益方面，雨污混流导致污水处理厂处理成本增加，未被污染或污染程度较轻的雨水混入合流管道，进入污水处理厂一并进行处理排放，水资源的综合利用存在不足，扣2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0"/>
        <w:rPr>
          <w:rFonts w:hint="eastAsia" w:ascii="黑体" w:hAnsi="黑体" w:eastAsia="黑体" w:cs="黑体"/>
          <w:color w:val="auto"/>
          <w:kern w:val="0"/>
          <w:sz w:val="32"/>
          <w:szCs w:val="32"/>
          <w:highlight w:val="none"/>
          <w:lang w:eastAsia="zh-CN"/>
        </w:rPr>
      </w:pPr>
      <w:bookmarkStart w:id="37" w:name="_Toc390096931"/>
      <w:bookmarkStart w:id="38" w:name="_Toc390267055"/>
      <w:bookmarkStart w:id="39" w:name="_Toc736"/>
      <w:bookmarkStart w:id="40" w:name="_Toc24241"/>
      <w:r>
        <w:rPr>
          <w:rFonts w:hint="eastAsia" w:ascii="黑体" w:hAnsi="黑体" w:eastAsia="黑体" w:cs="黑体"/>
          <w:color w:val="auto"/>
          <w:kern w:val="0"/>
          <w:sz w:val="32"/>
          <w:szCs w:val="32"/>
          <w:highlight w:val="none"/>
          <w:lang w:eastAsia="zh-CN"/>
        </w:rPr>
        <w:t>五</w:t>
      </w:r>
      <w:r>
        <w:rPr>
          <w:rFonts w:hint="eastAsia" w:ascii="黑体" w:hAnsi="黑体" w:eastAsia="黑体" w:cs="黑体"/>
          <w:color w:val="auto"/>
          <w:kern w:val="0"/>
          <w:sz w:val="32"/>
          <w:szCs w:val="32"/>
          <w:highlight w:val="none"/>
        </w:rPr>
        <w:t>、项目主要经验、存在的问题</w:t>
      </w:r>
      <w:bookmarkEnd w:id="37"/>
      <w:bookmarkEnd w:id="38"/>
      <w:r>
        <w:rPr>
          <w:rFonts w:hint="eastAsia" w:ascii="黑体" w:hAnsi="黑体" w:eastAsia="黑体" w:cs="黑体"/>
          <w:color w:val="auto"/>
          <w:kern w:val="0"/>
          <w:sz w:val="32"/>
          <w:szCs w:val="32"/>
          <w:highlight w:val="none"/>
          <w:lang w:eastAsia="zh-CN"/>
        </w:rPr>
        <w:t>及建议</w:t>
      </w:r>
      <w:bookmarkEnd w:id="39"/>
      <w:bookmarkEnd w:id="40"/>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outlineLvl w:val="1"/>
        <w:rPr>
          <w:rFonts w:hint="eastAsia" w:ascii="楷体" w:hAnsi="楷体" w:eastAsia="楷体" w:cs="楷体"/>
          <w:b/>
          <w:bCs/>
          <w:color w:val="auto"/>
          <w:sz w:val="32"/>
          <w:szCs w:val="32"/>
          <w:highlight w:val="none"/>
        </w:rPr>
      </w:pPr>
      <w:bookmarkStart w:id="41" w:name="_Toc23434"/>
      <w:bookmarkStart w:id="42" w:name="_Toc29857"/>
      <w:r>
        <w:rPr>
          <w:rFonts w:hint="eastAsia" w:ascii="楷体" w:hAnsi="楷体" w:eastAsia="楷体" w:cs="楷体"/>
          <w:b/>
          <w:bCs/>
          <w:color w:val="auto"/>
          <w:sz w:val="32"/>
          <w:szCs w:val="32"/>
          <w:highlight w:val="none"/>
        </w:rPr>
        <w:t>（一）项目主要经验</w:t>
      </w:r>
      <w:bookmarkEnd w:id="41"/>
      <w:bookmarkEnd w:id="4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1.</w:t>
      </w:r>
      <w:r>
        <w:rPr>
          <w:rFonts w:hint="eastAsia" w:ascii="仿宋" w:hAnsi="仿宋" w:eastAsia="仿宋" w:cs="仿宋"/>
          <w:b w:val="0"/>
          <w:bCs w:val="0"/>
          <w:color w:val="auto"/>
          <w:sz w:val="32"/>
          <w:szCs w:val="32"/>
          <w:highlight w:val="none"/>
        </w:rPr>
        <w:t>项目的立项、论证符合法律、法规要求，</w:t>
      </w:r>
      <w:r>
        <w:rPr>
          <w:rFonts w:hint="eastAsia" w:ascii="仿宋" w:hAnsi="仿宋" w:eastAsia="仿宋" w:cs="仿宋"/>
          <w:b w:val="0"/>
          <w:bCs w:val="0"/>
          <w:color w:val="auto"/>
          <w:sz w:val="32"/>
          <w:szCs w:val="32"/>
          <w:highlight w:val="none"/>
          <w:lang w:val="en-US" w:eastAsia="zh-CN"/>
        </w:rPr>
        <w:t>按规定办理或补充办理了各项批复、评审手续</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做到立项有依据。</w:t>
      </w:r>
      <w:r>
        <w:rPr>
          <w:rFonts w:hint="eastAsia" w:ascii="仿宋" w:hAnsi="仿宋" w:eastAsia="仿宋" w:cs="仿宋"/>
          <w:b w:val="0"/>
          <w:bCs w:val="0"/>
          <w:color w:val="auto"/>
          <w:sz w:val="32"/>
          <w:szCs w:val="32"/>
          <w:highlight w:val="none"/>
          <w:lang w:val="en-US" w:eastAsia="zh-CN"/>
        </w:rPr>
        <w:t>项目实施单位在无法取得融资贷款、资金紧张的情况下，用一年左右的时间紧锣密鼓地完成两个污水厂的工程建设并迅速投入商业试运营，为邵阳市的水污染防治行动和推进水环境质量的改善做出了贡献。</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b w:val="0"/>
          <w:bCs w:val="0"/>
          <w:color w:val="auto"/>
          <w:sz w:val="32"/>
          <w:szCs w:val="32"/>
          <w:highlight w:val="none"/>
          <w:lang w:val="en-US" w:eastAsia="zh-CN"/>
        </w:rPr>
        <w:t>2.邵阳经开碧水源公司在两个子项目的污水废水处理工艺中采用自主研发的膜生物反应器（MBR）代替沉淀池，在不增加池体的情况下可增加污水废水处理量，并可去除多种污染物且效率更高，采用MBR工艺不仅节约了土地资源，也实现了与周边社区和谐共生。邵阳经开碧水源公司</w:t>
      </w:r>
      <w:r>
        <w:rPr>
          <w:rFonts w:hint="eastAsia" w:ascii="仿宋" w:hAnsi="仿宋" w:eastAsia="仿宋" w:cs="仿宋"/>
          <w:b w:val="0"/>
          <w:bCs w:val="0"/>
          <w:color w:val="auto"/>
          <w:sz w:val="32"/>
          <w:szCs w:val="32"/>
          <w:highlight w:val="none"/>
        </w:rPr>
        <w:t>坚定服务国家生态文明发展战略，坚持以自主研发的膜技术解决中国“水脏、水少、饮水不安全”三大问题，持续为城乡生态环境建设提供整体解决方案</w:t>
      </w:r>
      <w:r>
        <w:rPr>
          <w:rFonts w:hint="eastAsia" w:ascii="仿宋" w:hAnsi="仿宋" w:eastAsia="仿宋" w:cs="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1"/>
        <w:rPr>
          <w:rFonts w:hint="eastAsia" w:ascii="楷体" w:hAnsi="楷体" w:eastAsia="楷体" w:cs="楷体"/>
          <w:b/>
          <w:bCs/>
          <w:color w:val="auto"/>
          <w:sz w:val="32"/>
          <w:szCs w:val="32"/>
          <w:highlight w:val="none"/>
        </w:rPr>
      </w:pPr>
      <w:bookmarkStart w:id="43" w:name="_Toc6772"/>
      <w:bookmarkStart w:id="44" w:name="_Toc7332"/>
      <w:r>
        <w:rPr>
          <w:rFonts w:hint="eastAsia" w:ascii="楷体" w:hAnsi="楷体" w:eastAsia="楷体" w:cs="楷体"/>
          <w:b/>
          <w:bCs/>
          <w:color w:val="auto"/>
          <w:sz w:val="32"/>
          <w:szCs w:val="32"/>
          <w:highlight w:val="none"/>
        </w:rPr>
        <w:t>（二）存在的问题</w:t>
      </w:r>
      <w:bookmarkEnd w:id="43"/>
      <w:bookmarkEnd w:id="44"/>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eastAsia" w:ascii="仿宋" w:hAnsi="仿宋" w:eastAsia="仿宋" w:cs="仿宋"/>
          <w:b/>
          <w:bCs/>
          <w:color w:val="auto"/>
          <w:sz w:val="32"/>
          <w:szCs w:val="32"/>
          <w:highlight w:val="none"/>
          <w:lang w:val="en-US" w:eastAsia="zh-CN"/>
        </w:rPr>
      </w:pPr>
      <w:bookmarkStart w:id="45" w:name="_Toc18936"/>
      <w:bookmarkStart w:id="46" w:name="_Toc21507"/>
      <w:r>
        <w:rPr>
          <w:rFonts w:hint="eastAsia" w:ascii="仿宋" w:hAnsi="仿宋" w:eastAsia="仿宋" w:cs="仿宋"/>
          <w:b/>
          <w:bCs/>
          <w:color w:val="auto"/>
          <w:sz w:val="32"/>
          <w:szCs w:val="32"/>
          <w:highlight w:val="none"/>
        </w:rPr>
        <w:t>1</w:t>
      </w:r>
      <w:r>
        <w:rPr>
          <w:rFonts w:hint="eastAsia" w:ascii="仿宋" w:hAnsi="仿宋" w:eastAsia="仿宋" w:cs="仿宋"/>
          <w:b/>
          <w:bCs/>
          <w:color w:val="auto"/>
          <w:sz w:val="32"/>
          <w:szCs w:val="32"/>
          <w:highlight w:val="none"/>
          <w:lang w:val="en-US" w:eastAsia="zh-CN"/>
        </w:rPr>
        <w:t>.项目</w:t>
      </w:r>
      <w:r>
        <w:rPr>
          <w:rFonts w:hint="eastAsia" w:ascii="仿宋" w:hAnsi="仿宋" w:eastAsia="仿宋" w:cs="仿宋"/>
          <w:b/>
          <w:bCs/>
          <w:color w:val="auto"/>
          <w:sz w:val="32"/>
          <w:szCs w:val="32"/>
          <w:highlight w:val="none"/>
          <w:lang w:eastAsia="zh-CN"/>
        </w:rPr>
        <w:t>没有</w:t>
      </w:r>
      <w:r>
        <w:rPr>
          <w:rFonts w:hint="eastAsia" w:ascii="仿宋" w:hAnsi="仿宋" w:eastAsia="仿宋" w:cs="仿宋"/>
          <w:b/>
          <w:bCs/>
          <w:color w:val="auto"/>
          <w:sz w:val="32"/>
          <w:szCs w:val="32"/>
          <w:highlight w:val="none"/>
          <w:lang w:val="en-US" w:eastAsia="zh-CN"/>
        </w:rPr>
        <w:t>设置具体</w:t>
      </w:r>
      <w:r>
        <w:rPr>
          <w:rFonts w:hint="eastAsia" w:ascii="仿宋" w:hAnsi="仿宋" w:eastAsia="仿宋" w:cs="仿宋"/>
          <w:b/>
          <w:bCs/>
          <w:color w:val="auto"/>
          <w:sz w:val="32"/>
          <w:szCs w:val="32"/>
          <w:highlight w:val="none"/>
          <w:lang w:eastAsia="zh-CN"/>
        </w:rPr>
        <w:t>的绩效目标</w:t>
      </w:r>
      <w:bookmarkEnd w:id="45"/>
      <w:bookmarkEnd w:id="46"/>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项目</w:t>
      </w:r>
      <w:r>
        <w:rPr>
          <w:rFonts w:hint="eastAsia" w:ascii="仿宋" w:hAnsi="仿宋" w:eastAsia="仿宋" w:cs="仿宋"/>
          <w:color w:val="auto"/>
          <w:sz w:val="32"/>
          <w:szCs w:val="32"/>
          <w:highlight w:val="none"/>
          <w:lang w:val="en-US" w:eastAsia="zh-CN"/>
        </w:rPr>
        <w:t>实施单位没有按运营年度开展绩效目标申报工作</w:t>
      </w:r>
      <w:r>
        <w:rPr>
          <w:rFonts w:hint="eastAsia" w:ascii="仿宋" w:hAnsi="仿宋" w:eastAsia="仿宋" w:cs="仿宋"/>
          <w:color w:val="auto"/>
          <w:sz w:val="32"/>
          <w:szCs w:val="32"/>
          <w:highlight w:val="none"/>
          <w:lang w:eastAsia="zh-CN"/>
        </w:rPr>
        <w:t>，没有将项目绩效目标细化分解具体的绩效指标，没有通过清晰、可衡量的指标值予以体现。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default" w:ascii="仿宋" w:hAnsi="仿宋" w:eastAsia="仿宋" w:cs="仿宋"/>
          <w:b/>
          <w:bCs/>
          <w:color w:val="auto"/>
          <w:sz w:val="32"/>
          <w:szCs w:val="32"/>
          <w:highlight w:val="none"/>
          <w:lang w:val="en-US" w:eastAsia="zh-CN"/>
        </w:rPr>
      </w:pPr>
      <w:bookmarkStart w:id="47" w:name="_Toc31859"/>
      <w:bookmarkStart w:id="48" w:name="_Toc14926"/>
      <w:r>
        <w:rPr>
          <w:rFonts w:hint="eastAsia" w:ascii="仿宋" w:hAnsi="仿宋" w:eastAsia="仿宋" w:cs="仿宋"/>
          <w:b/>
          <w:bCs/>
          <w:color w:val="auto"/>
          <w:sz w:val="32"/>
          <w:szCs w:val="32"/>
          <w:highlight w:val="none"/>
          <w:lang w:val="en-US" w:eastAsia="zh-CN"/>
        </w:rPr>
        <w:t>2.</w:t>
      </w:r>
      <w:bookmarkEnd w:id="47"/>
      <w:r>
        <w:rPr>
          <w:rFonts w:hint="eastAsia" w:ascii="仿宋" w:hAnsi="仿宋" w:eastAsia="仿宋" w:cs="仿宋"/>
          <w:b/>
          <w:bCs/>
          <w:color w:val="auto"/>
          <w:sz w:val="32"/>
          <w:szCs w:val="32"/>
          <w:highlight w:val="none"/>
          <w:lang w:val="en-US" w:eastAsia="zh-CN"/>
        </w:rPr>
        <w:t>项目审批、评审手续滞后</w:t>
      </w:r>
      <w:bookmarkEnd w:id="48"/>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根据《建筑法》、《建设工程质量管理条例》、《政府投资条例》等相关法律法规的规定，投资项目在开工前应完成一系列的审批手续。宝工区水务PPP项目属于边建边批，手续后置，项目实际建设进度与相关许可、批复的时间不匹配。两个子项目的工程建设主体已完工并且分别于2018年3月和6月进入商业试运营，但项目的初步设计批复、预算评审在项目试运营后的2018年7月、2019年12月才完成。</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default" w:ascii="仿宋" w:hAnsi="仿宋" w:eastAsia="仿宋" w:cs="仿宋"/>
          <w:b/>
          <w:bCs/>
          <w:color w:val="auto"/>
          <w:sz w:val="32"/>
          <w:szCs w:val="32"/>
          <w:highlight w:val="none"/>
          <w:lang w:val="en-US" w:eastAsia="zh-CN"/>
        </w:rPr>
      </w:pPr>
      <w:bookmarkStart w:id="49" w:name="_Toc8252"/>
      <w:bookmarkStart w:id="50" w:name="_Toc1800"/>
      <w:r>
        <w:rPr>
          <w:rFonts w:hint="eastAsia" w:ascii="仿宋" w:hAnsi="仿宋" w:eastAsia="仿宋" w:cs="仿宋"/>
          <w:b/>
          <w:bCs/>
          <w:color w:val="auto"/>
          <w:sz w:val="32"/>
          <w:szCs w:val="32"/>
          <w:highlight w:val="none"/>
          <w:lang w:val="en-US" w:eastAsia="zh-CN"/>
        </w:rPr>
        <w:t>3.</w:t>
      </w:r>
      <w:bookmarkEnd w:id="49"/>
      <w:r>
        <w:rPr>
          <w:rFonts w:hint="eastAsia" w:ascii="仿宋" w:hAnsi="仿宋" w:eastAsia="仿宋" w:cs="仿宋"/>
          <w:b/>
          <w:bCs/>
          <w:color w:val="auto"/>
          <w:sz w:val="32"/>
          <w:szCs w:val="32"/>
          <w:highlight w:val="none"/>
          <w:lang w:val="en-US" w:eastAsia="zh-CN"/>
        </w:rPr>
        <w:t>采购程序执行不到位、采购过程缺乏监管</w:t>
      </w:r>
      <w:bookmarkEnd w:id="50"/>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根据《中华人民共和国政府采购法》第四十六条规定：采购人与中标、成交供应商应当在中标、成交通知书发出之日起三十日内，按照采购文件确定的事项签订政府采购合同。代理机构于2017年1月24日向成交社会资本方发出政府采购成交通知书。按规定应于2017年2月22日前签订合同，但实际签订PPP项目合同时间为2017年5月9日，签订合同时间滞后。</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根据</w:t>
      </w:r>
      <w:r>
        <w:rPr>
          <w:rFonts w:hint="eastAsia" w:ascii="仿宋" w:hAnsi="仿宋" w:eastAsia="仿宋" w:cs="仿宋"/>
          <w:color w:val="auto"/>
          <w:spacing w:val="-8"/>
          <w:sz w:val="32"/>
          <w:szCs w:val="32"/>
          <w:highlight w:val="none"/>
          <w:lang w:val="en-US" w:eastAsia="zh-CN"/>
        </w:rPr>
        <w:t>邵阳市审计局出具的审计报告（</w:t>
      </w:r>
      <w:r>
        <w:rPr>
          <w:rFonts w:hint="eastAsia" w:ascii="仿宋" w:hAnsi="仿宋" w:eastAsia="仿宋" w:cs="仿宋"/>
          <w:b w:val="0"/>
          <w:bCs w:val="0"/>
          <w:color w:val="auto"/>
          <w:spacing w:val="-8"/>
          <w:sz w:val="32"/>
          <w:szCs w:val="32"/>
          <w:highlight w:val="none"/>
          <w:lang w:val="en-US" w:eastAsia="zh-CN"/>
        </w:rPr>
        <w:t>招审投报</w:t>
      </w:r>
      <w:r>
        <w:rPr>
          <w:rFonts w:hint="eastAsia" w:ascii="仿宋" w:hAnsi="仿宋" w:eastAsia="仿宋" w:cs="仿宋"/>
          <w:color w:val="auto"/>
          <w:spacing w:val="-8"/>
          <w:sz w:val="32"/>
          <w:szCs w:val="32"/>
          <w:highlight w:val="none"/>
        </w:rPr>
        <w:t>〔20</w:t>
      </w:r>
      <w:r>
        <w:rPr>
          <w:rFonts w:hint="eastAsia" w:ascii="仿宋" w:hAnsi="仿宋" w:eastAsia="仿宋" w:cs="仿宋"/>
          <w:color w:val="auto"/>
          <w:spacing w:val="-8"/>
          <w:sz w:val="32"/>
          <w:szCs w:val="32"/>
          <w:highlight w:val="none"/>
          <w:lang w:val="en-US" w:eastAsia="zh-CN"/>
        </w:rPr>
        <w:t>23</w:t>
      </w:r>
      <w:r>
        <w:rPr>
          <w:rFonts w:hint="eastAsia" w:ascii="仿宋" w:hAnsi="仿宋" w:eastAsia="仿宋" w:cs="仿宋"/>
          <w:color w:val="auto"/>
          <w:spacing w:val="-8"/>
          <w:sz w:val="32"/>
          <w:szCs w:val="32"/>
          <w:highlight w:val="none"/>
        </w:rPr>
        <w:t>〕</w:t>
      </w:r>
      <w:r>
        <w:rPr>
          <w:rFonts w:hint="eastAsia" w:ascii="仿宋" w:hAnsi="仿宋" w:eastAsia="仿宋" w:cs="仿宋"/>
          <w:color w:val="auto"/>
          <w:spacing w:val="-8"/>
          <w:sz w:val="32"/>
          <w:szCs w:val="32"/>
          <w:highlight w:val="none"/>
          <w:lang w:val="en-US" w:eastAsia="zh-CN"/>
        </w:rPr>
        <w:t>3号），在发制品废水处理厂一期设备采购中，项目工程承包方北京久安建投公司与湖南国开碧水源公司先后签订价值686.00万元和1476.06万元的设备采购合同及补充协议，补充协议实质为重新签订新合同。在项目设备变更过程中，项目实施单位邵阳经开碧水源水务有限公司未按程序通过公开招标或竞价谈判，而是采取自行定价的方式办理结算，作为国有资本方的邵阳市宝庆工业新城建设投资开发有限公司未及时对设备采购价格予以监督，导致增加设备购置费790.05万元。</w:t>
      </w:r>
    </w:p>
    <w:p>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textAlignment w:val="auto"/>
        <w:outlineLvl w:val="2"/>
        <w:rPr>
          <w:rFonts w:hint="default" w:ascii="仿宋" w:hAnsi="仿宋" w:eastAsia="仿宋" w:cs="仿宋"/>
          <w:b/>
          <w:bCs/>
          <w:color w:val="auto"/>
          <w:sz w:val="32"/>
          <w:szCs w:val="32"/>
          <w:highlight w:val="none"/>
          <w:lang w:val="en-US" w:eastAsia="zh-CN"/>
        </w:rPr>
      </w:pPr>
      <w:bookmarkStart w:id="51" w:name="_Toc23138"/>
      <w:bookmarkStart w:id="52" w:name="_Toc29595"/>
      <w:r>
        <w:rPr>
          <w:rFonts w:hint="eastAsia" w:ascii="仿宋" w:hAnsi="仿宋" w:eastAsia="仿宋" w:cs="仿宋"/>
          <w:b/>
          <w:bCs/>
          <w:color w:val="auto"/>
          <w:sz w:val="32"/>
          <w:szCs w:val="32"/>
          <w:highlight w:val="none"/>
          <w:lang w:val="en-US" w:eastAsia="zh-CN"/>
        </w:rPr>
        <w:t>4.</w:t>
      </w:r>
      <w:bookmarkEnd w:id="51"/>
      <w:r>
        <w:rPr>
          <w:rFonts w:hint="eastAsia" w:ascii="仿宋" w:hAnsi="仿宋" w:eastAsia="仿宋" w:cs="仿宋"/>
          <w:b/>
          <w:bCs/>
          <w:color w:val="auto"/>
          <w:sz w:val="32"/>
          <w:szCs w:val="32"/>
          <w:highlight w:val="none"/>
          <w:lang w:val="en-US" w:eastAsia="zh-CN"/>
        </w:rPr>
        <w:t>项目调整未开展后续工作，工程竣工验收和项目投资总额决算时间滞后</w:t>
      </w:r>
      <w:bookmarkEnd w:id="52"/>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该项目立项批复总投资为35,808.30万元，实际建设时调减了管网及其他配套工程项目投资12,635.00万元，投资概算变更为23,173.30万元。调减项目投资规模及建设内容等核心条件，未按政策规定重新调整财承报告、物有所值报告、项目合同。</w:t>
      </w:r>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根据《建设工程质量管理条例》第十六规定，建设工程经验收合格的，方可交付使用；根据PPP项目合同规定，项目实施单位应在各子项目建设工程完工并符合验收条件后30天内，组织勘察、设计、施工、监理、工程质量监督等单位对子项目进行竣工验收并签署竣工验收证书。污水（废水）处理厂两个子项目分别于</w:t>
      </w:r>
      <w:r>
        <w:rPr>
          <w:rFonts w:hint="eastAsia" w:ascii="仿宋" w:hAnsi="仿宋" w:eastAsia="仿宋" w:cs="仿宋"/>
          <w:color w:val="auto"/>
          <w:sz w:val="32"/>
          <w:szCs w:val="32"/>
          <w:highlight w:val="none"/>
          <w:lang w:eastAsia="zh-CN"/>
        </w:rPr>
        <w:t>2018年3月15日</w:t>
      </w:r>
      <w:r>
        <w:rPr>
          <w:rFonts w:hint="eastAsia" w:ascii="仿宋" w:hAnsi="仿宋" w:eastAsia="仿宋" w:cs="仿宋"/>
          <w:color w:val="auto"/>
          <w:sz w:val="32"/>
          <w:szCs w:val="32"/>
          <w:highlight w:val="none"/>
          <w:lang w:val="en-US" w:eastAsia="zh-CN"/>
        </w:rPr>
        <w:t>和</w:t>
      </w:r>
      <w:r>
        <w:rPr>
          <w:rFonts w:hint="eastAsia" w:ascii="仿宋" w:hAnsi="仿宋" w:eastAsia="仿宋" w:cs="仿宋"/>
          <w:color w:val="auto"/>
          <w:sz w:val="32"/>
          <w:szCs w:val="32"/>
          <w:highlight w:val="none"/>
          <w:lang w:eastAsia="zh-CN"/>
        </w:rPr>
        <w:t>2018年6月1日</w:t>
      </w:r>
      <w:r>
        <w:rPr>
          <w:rFonts w:hint="eastAsia" w:ascii="仿宋" w:hAnsi="仿宋" w:eastAsia="仿宋" w:cs="仿宋"/>
          <w:color w:val="auto"/>
          <w:sz w:val="32"/>
          <w:szCs w:val="32"/>
          <w:highlight w:val="none"/>
          <w:lang w:val="en-US" w:eastAsia="zh-CN"/>
        </w:rPr>
        <w:t>由项目实施单位开始商业试运营</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但直到约2年后的2020年4月24日才由建设单位、设计单位、施工单位等各方组织项目工程竣工验收，时间滞后。按项目补充协议书约定：污水（废水）处理厂运营开始日为竣工验收之日。因竣工验收延迟近二年，变相增加了项目运营期。截止绩效评价报告日，项目实际投资总额的竣工决算仍在办理中。</w:t>
      </w:r>
    </w:p>
    <w:p>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textAlignment w:val="auto"/>
        <w:outlineLvl w:val="2"/>
        <w:rPr>
          <w:rFonts w:hint="eastAsia" w:ascii="仿宋" w:hAnsi="仿宋" w:eastAsia="仿宋" w:cs="仿宋"/>
          <w:b/>
          <w:bCs/>
          <w:color w:val="auto"/>
          <w:sz w:val="32"/>
          <w:szCs w:val="32"/>
          <w:highlight w:val="none"/>
          <w:lang w:val="en-US" w:eastAsia="zh-CN"/>
        </w:rPr>
      </w:pPr>
      <w:bookmarkStart w:id="53" w:name="_Toc29135"/>
      <w:r>
        <w:rPr>
          <w:rFonts w:hint="eastAsia" w:ascii="仿宋" w:hAnsi="仿宋" w:eastAsia="仿宋" w:cs="仿宋"/>
          <w:b/>
          <w:bCs/>
          <w:color w:val="auto"/>
          <w:sz w:val="32"/>
          <w:szCs w:val="32"/>
          <w:highlight w:val="none"/>
          <w:lang w:val="en-US" w:eastAsia="zh-CN"/>
        </w:rPr>
        <w:t>5.污水处理量不足，运行负荷率偏低</w:t>
      </w:r>
      <w:bookmarkEnd w:id="53"/>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根据《建设部关于加强城镇污水处理厂运行监管的意见》，要求城镇污水处理厂投入运行后的实际处理负荷，在一年内不低于设计能力的60%，三年内不低于设计能力的75%。目前</w:t>
      </w:r>
      <w:r>
        <w:rPr>
          <w:rFonts w:hint="default" w:ascii="仿宋" w:hAnsi="仿宋" w:eastAsia="仿宋" w:cs="仿宋"/>
          <w:color w:val="auto"/>
          <w:kern w:val="2"/>
          <w:sz w:val="32"/>
          <w:szCs w:val="32"/>
          <w:highlight w:val="none"/>
          <w:lang w:val="en-US" w:eastAsia="zh-CN" w:bidi="ar-SA"/>
        </w:rPr>
        <w:t>进站路污水处理</w:t>
      </w:r>
      <w:r>
        <w:rPr>
          <w:rFonts w:hint="eastAsia" w:ascii="仿宋" w:hAnsi="仿宋" w:eastAsia="仿宋" w:cs="仿宋"/>
          <w:color w:val="auto"/>
          <w:kern w:val="2"/>
          <w:sz w:val="32"/>
          <w:szCs w:val="32"/>
          <w:highlight w:val="none"/>
          <w:lang w:val="en-US" w:eastAsia="zh-CN" w:bidi="ar-SA"/>
        </w:rPr>
        <w:t>厂运行负荷率44.1%，发制品产业园废水</w:t>
      </w:r>
      <w:r>
        <w:rPr>
          <w:rFonts w:hint="default" w:ascii="仿宋" w:hAnsi="仿宋" w:eastAsia="仿宋" w:cs="仿宋"/>
          <w:color w:val="auto"/>
          <w:kern w:val="2"/>
          <w:sz w:val="32"/>
          <w:szCs w:val="32"/>
          <w:highlight w:val="none"/>
          <w:lang w:val="en-US" w:eastAsia="zh-CN" w:bidi="ar-SA"/>
        </w:rPr>
        <w:t>处理</w:t>
      </w:r>
      <w:r>
        <w:rPr>
          <w:rFonts w:hint="eastAsia" w:ascii="仿宋" w:hAnsi="仿宋" w:eastAsia="仿宋" w:cs="仿宋"/>
          <w:color w:val="auto"/>
          <w:kern w:val="2"/>
          <w:sz w:val="32"/>
          <w:szCs w:val="32"/>
          <w:highlight w:val="none"/>
          <w:lang w:val="en-US" w:eastAsia="zh-CN" w:bidi="ar-SA"/>
        </w:rPr>
        <w:t>厂运行负荷率30.6%，本项目污水（废水）处理厂已正式运行超过三年，仍未达到设计能力的75%。</w:t>
      </w:r>
    </w:p>
    <w:p>
      <w:pPr>
        <w:pStyle w:val="14"/>
        <w:keepNext w:val="0"/>
        <w:keepLines w:val="0"/>
        <w:pageBreakBefore w:val="0"/>
        <w:widowControl w:val="0"/>
        <w:kinsoku/>
        <w:wordWrap/>
        <w:overflowPunct/>
        <w:topLinePunct w:val="0"/>
        <w:autoSpaceDE/>
        <w:autoSpaceDN/>
        <w:bidi w:val="0"/>
        <w:adjustRightInd/>
        <w:snapToGrid/>
        <w:spacing w:beforeLines="0" w:afterLines="0" w:line="240" w:lineRule="auto"/>
        <w:ind w:left="0"/>
        <w:textAlignment w:val="auto"/>
        <w:outlineLvl w:val="2"/>
        <w:rPr>
          <w:rFonts w:hint="eastAsia" w:ascii="仿宋" w:hAnsi="仿宋" w:eastAsia="仿宋" w:cs="仿宋"/>
          <w:b/>
          <w:bCs/>
          <w:color w:val="auto"/>
          <w:sz w:val="32"/>
          <w:szCs w:val="32"/>
          <w:highlight w:val="none"/>
          <w:lang w:val="en-US"/>
        </w:rPr>
      </w:pPr>
      <w:bookmarkStart w:id="54" w:name="_Toc14045"/>
      <w:r>
        <w:rPr>
          <w:rFonts w:hint="eastAsia" w:ascii="仿宋" w:hAnsi="仿宋" w:eastAsia="仿宋" w:cs="仿宋"/>
          <w:b/>
          <w:bCs/>
          <w:color w:val="auto"/>
          <w:sz w:val="32"/>
          <w:szCs w:val="32"/>
          <w:highlight w:val="none"/>
          <w:lang w:val="en-US" w:eastAsia="zh-CN"/>
        </w:rPr>
        <w:t>6.项目公司单位运营成本偏高，超过协议价格</w:t>
      </w:r>
      <w:bookmarkEnd w:id="54"/>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highlight w:val="none"/>
          <w:lang w:val="en-US" w:eastAsia="zh-CN"/>
        </w:rPr>
      </w:pPr>
      <w:bookmarkStart w:id="55" w:name="_Toc29278"/>
      <w:r>
        <w:rPr>
          <w:rFonts w:hint="eastAsia" w:ascii="仿宋" w:hAnsi="仿宋" w:eastAsia="仿宋" w:cs="仿宋"/>
          <w:color w:val="auto"/>
          <w:sz w:val="32"/>
          <w:szCs w:val="32"/>
          <w:highlight w:val="none"/>
          <w:lang w:val="en-US" w:eastAsia="zh-CN"/>
        </w:rPr>
        <w:t>进站路污水处理厂的单位运营成本2.09元，高于协议暂定水费价格1.29元，发制品污水处理厂的单位运营成本18.25元，高于协议暂定水费价格8.57元。</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outlineLvl w:val="2"/>
        <w:rPr>
          <w:rFonts w:hint="default" w:ascii="仿宋" w:hAnsi="仿宋" w:eastAsia="仿宋" w:cs="仿宋"/>
          <w:b/>
          <w:bCs/>
          <w:color w:val="auto"/>
          <w:sz w:val="32"/>
          <w:szCs w:val="32"/>
          <w:highlight w:val="none"/>
          <w:lang w:val="en-US" w:eastAsia="zh-CN"/>
        </w:rPr>
      </w:pPr>
      <w:bookmarkStart w:id="56" w:name="_Toc18017"/>
      <w:r>
        <w:rPr>
          <w:rFonts w:hint="eastAsia" w:ascii="仿宋" w:hAnsi="仿宋" w:eastAsia="仿宋" w:cs="仿宋"/>
          <w:b/>
          <w:bCs/>
          <w:color w:val="auto"/>
          <w:sz w:val="32"/>
          <w:szCs w:val="32"/>
          <w:highlight w:val="none"/>
          <w:lang w:val="en-US" w:eastAsia="zh-CN"/>
        </w:rPr>
        <w:t>7.雨污合流，对处理厂污水处理能力产生不利影响</w:t>
      </w:r>
      <w:bookmarkEnd w:id="56"/>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由于雨污未分离，通过同一管网进入污水（废水）处理厂，造成进水指标浓度偏低、药剂成本增高，雨水里的残渣使设备运维成本增高，影响项目运营效果，增加了污水处理系统运行管理的复杂性。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55"/>
        <w:textAlignment w:val="auto"/>
        <w:outlineLvl w:val="1"/>
        <w:rPr>
          <w:rFonts w:hint="eastAsia" w:ascii="楷体" w:hAnsi="楷体" w:eastAsia="楷体" w:cs="楷体"/>
          <w:b/>
          <w:bCs/>
          <w:color w:val="auto"/>
          <w:sz w:val="32"/>
          <w:szCs w:val="32"/>
          <w:highlight w:val="none"/>
          <w:lang w:val="en-US" w:eastAsia="zh-CN"/>
        </w:rPr>
      </w:pPr>
      <w:bookmarkStart w:id="57" w:name="_Toc25276"/>
      <w:r>
        <w:rPr>
          <w:rFonts w:hint="eastAsia" w:ascii="楷体" w:hAnsi="楷体" w:eastAsia="楷体" w:cs="楷体"/>
          <w:b/>
          <w:bCs/>
          <w:color w:val="auto"/>
          <w:sz w:val="32"/>
          <w:szCs w:val="32"/>
          <w:highlight w:val="none"/>
          <w:lang w:val="en-US" w:eastAsia="zh-CN"/>
        </w:rPr>
        <w:t>（三）有关建议</w:t>
      </w:r>
      <w:bookmarkEnd w:id="55"/>
      <w:bookmarkEnd w:id="57"/>
    </w:p>
    <w:p>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b w:val="0"/>
          <w:bCs w:val="0"/>
          <w:color w:val="auto"/>
          <w:sz w:val="32"/>
          <w:szCs w:val="32"/>
          <w:highlight w:val="none"/>
        </w:rPr>
        <w:t>1</w:t>
      </w:r>
      <w:r>
        <w:rPr>
          <w:rFonts w:hint="eastAsia" w:ascii="仿宋" w:hAnsi="仿宋" w:eastAsia="仿宋" w:cs="仿宋"/>
          <w:b w:val="0"/>
          <w:bCs w:val="0"/>
          <w:color w:val="auto"/>
          <w:sz w:val="32"/>
          <w:szCs w:val="32"/>
          <w:highlight w:val="none"/>
          <w:lang w:val="en-US" w:eastAsia="zh-CN"/>
        </w:rPr>
        <w:t>.建议项目主管部门和项目实施单位完善</w:t>
      </w:r>
      <w:r>
        <w:rPr>
          <w:rFonts w:hint="eastAsia" w:ascii="仿宋" w:hAnsi="仿宋" w:eastAsia="仿宋" w:cs="仿宋"/>
          <w:b w:val="0"/>
          <w:bCs w:val="0"/>
          <w:color w:val="auto"/>
          <w:sz w:val="32"/>
          <w:szCs w:val="32"/>
          <w:highlight w:val="none"/>
          <w:lang w:eastAsia="zh-CN"/>
        </w:rPr>
        <w:t>绩效目标管理，进一步规范PPP项目全生命周期绩效管理工作，</w:t>
      </w:r>
      <w:r>
        <w:rPr>
          <w:rFonts w:hint="eastAsia" w:ascii="仿宋" w:hAnsi="仿宋" w:eastAsia="仿宋" w:cs="仿宋"/>
          <w:b w:val="0"/>
          <w:bCs w:val="0"/>
          <w:color w:val="auto"/>
          <w:sz w:val="32"/>
          <w:szCs w:val="32"/>
          <w:highlight w:val="none"/>
          <w:lang w:val="en-US" w:eastAsia="zh-CN"/>
        </w:rPr>
        <w:t>落实按效付费机制</w:t>
      </w:r>
      <w:r>
        <w:rPr>
          <w:rFonts w:hint="eastAsia" w:ascii="仿宋" w:hAnsi="仿宋" w:eastAsia="仿宋" w:cs="仿宋"/>
          <w:b/>
          <w:bCs/>
          <w:color w:val="auto"/>
          <w:sz w:val="32"/>
          <w:szCs w:val="32"/>
          <w:highlight w:val="none"/>
        </w:rPr>
        <w:t>。</w:t>
      </w:r>
      <w:r>
        <w:rPr>
          <w:rFonts w:hint="eastAsia" w:ascii="仿宋" w:hAnsi="仿宋" w:eastAsia="仿宋" w:cs="仿宋"/>
          <w:color w:val="auto"/>
          <w:sz w:val="32"/>
          <w:szCs w:val="32"/>
          <w:highlight w:val="none"/>
        </w:rPr>
        <w:t>建立健全污水污泥处理指标考核体系，按照绩效目标（或生产计划）编制要求，在数量、质量、成本、时效、效益等方面进一步细化、量化,根据年度内可预见的工作任务，编制统一的项目资金预算绩效目标，将产出数量、质量目标全部细化至三级指标，增设主要生化指标削减率、主要污染物减排量指标</w:t>
      </w:r>
      <w:r>
        <w:rPr>
          <w:rFonts w:hint="eastAsia" w:ascii="仿宋" w:hAnsi="仿宋" w:eastAsia="仿宋" w:cs="仿宋"/>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firstLine="630" w:firstLineChars="197"/>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2.建议项目实施单位遵守相关规定，在今后的工作中加强运营期日常管理，及时办理相关手续。</w:t>
      </w:r>
    </w:p>
    <w:p>
      <w:pPr>
        <w:keepNext w:val="0"/>
        <w:keepLines w:val="0"/>
        <w:pageBreakBefore w:val="0"/>
        <w:widowControl w:val="0"/>
        <w:kinsoku/>
        <w:wordWrap/>
        <w:overflowPunct/>
        <w:topLinePunct w:val="0"/>
        <w:autoSpaceDE/>
        <w:autoSpaceDN/>
        <w:bidi w:val="0"/>
        <w:adjustRightInd/>
        <w:snapToGrid/>
        <w:spacing w:line="240" w:lineRule="auto"/>
        <w:ind w:left="0" w:firstLine="630" w:firstLineChars="197"/>
        <w:textAlignment w:val="auto"/>
        <w:rPr>
          <w:rFonts w:hint="default"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3.建议项目实施单位加强政府采购、招投标法律、法规学习，避免今后采购、招标过程中发生违法、违规行为；建议项目主管部门在今后工作中履行国有资本出资人监管、监督职责。</w:t>
      </w:r>
    </w:p>
    <w:p>
      <w:pPr>
        <w:keepNext w:val="0"/>
        <w:keepLines w:val="0"/>
        <w:pageBreakBefore w:val="0"/>
        <w:widowControl w:val="0"/>
        <w:kinsoku/>
        <w:wordWrap/>
        <w:overflowPunct/>
        <w:topLinePunct w:val="0"/>
        <w:autoSpaceDE/>
        <w:autoSpaceDN/>
        <w:bidi w:val="0"/>
        <w:adjustRightInd/>
        <w:snapToGrid/>
        <w:spacing w:line="240" w:lineRule="auto"/>
        <w:ind w:left="0" w:firstLine="630" w:firstLineChars="197"/>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4.建议项目实施机构根据经审计或财评的竣工结算金额，组织重新调整财承报告、物有所值报告、项目合同，合理确定项目回报机制。</w:t>
      </w:r>
    </w:p>
    <w:p>
      <w:pPr>
        <w:keepNext w:val="0"/>
        <w:keepLines w:val="0"/>
        <w:pageBreakBefore w:val="0"/>
        <w:widowControl w:val="0"/>
        <w:kinsoku/>
        <w:wordWrap/>
        <w:overflowPunct/>
        <w:topLinePunct w:val="0"/>
        <w:autoSpaceDE/>
        <w:autoSpaceDN/>
        <w:bidi w:val="0"/>
        <w:adjustRightInd/>
        <w:snapToGrid/>
        <w:spacing w:line="240" w:lineRule="auto"/>
        <w:ind w:left="0" w:firstLine="630" w:firstLineChars="197"/>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建议项目实施单位尽快收集、补充竣工决（结）算所需资料，有关单位或部门积极指导及协助项目公司完成竣工决算审计或财评报告，以便于计算出精准的可用性服务费数额。</w:t>
      </w:r>
    </w:p>
    <w:p>
      <w:pPr>
        <w:keepNext w:val="0"/>
        <w:keepLines w:val="0"/>
        <w:pageBreakBefore w:val="0"/>
        <w:widowControl w:val="0"/>
        <w:kinsoku/>
        <w:wordWrap/>
        <w:overflowPunct/>
        <w:topLinePunct w:val="0"/>
        <w:autoSpaceDE/>
        <w:autoSpaceDN/>
        <w:bidi w:val="0"/>
        <w:adjustRightInd/>
        <w:snapToGrid/>
        <w:spacing w:line="240" w:lineRule="auto"/>
        <w:ind w:left="0" w:firstLine="630" w:firstLineChars="197"/>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5.建议项目主管部门加强管网建设，提高污水管网覆盖率和污水收集率，污水处理厂和排污管网配合使用，发挥治污作用。生活污水应收尽收，工业污水经预处理达到处理标准的接入废水处理厂。</w:t>
      </w:r>
    </w:p>
    <w:p>
      <w:pPr>
        <w:keepNext w:val="0"/>
        <w:keepLines w:val="0"/>
        <w:pageBreakBefore w:val="0"/>
        <w:widowControl w:val="0"/>
        <w:kinsoku/>
        <w:wordWrap/>
        <w:overflowPunct/>
        <w:topLinePunct w:val="0"/>
        <w:autoSpaceDE/>
        <w:autoSpaceDN/>
        <w:bidi w:val="0"/>
        <w:adjustRightInd/>
        <w:snapToGrid/>
        <w:spacing w:line="240" w:lineRule="auto"/>
        <w:ind w:left="0" w:firstLine="630" w:firstLineChars="197"/>
        <w:textAlignment w:val="auto"/>
        <w:rPr>
          <w:rFonts w:hint="eastAsia" w:ascii="仿宋" w:hAnsi="仿宋" w:eastAsia="仿宋" w:cs="仿宋"/>
          <w:b w:val="0"/>
          <w:bCs w:val="0"/>
          <w:i w:val="0"/>
          <w:iCs w:val="0"/>
          <w:color w:val="auto"/>
          <w:kern w:val="0"/>
          <w:sz w:val="32"/>
          <w:szCs w:val="32"/>
          <w:highlight w:val="none"/>
          <w:lang w:val="en-US" w:eastAsia="zh-CN" w:bidi="ar"/>
        </w:rPr>
      </w:pPr>
      <w:r>
        <w:rPr>
          <w:rFonts w:hint="eastAsia" w:ascii="仿宋" w:hAnsi="仿宋" w:eastAsia="仿宋" w:cs="仿宋"/>
          <w:b w:val="0"/>
          <w:bCs w:val="0"/>
          <w:color w:val="auto"/>
          <w:sz w:val="32"/>
          <w:szCs w:val="32"/>
          <w:highlight w:val="none"/>
          <w:lang w:val="en-US" w:eastAsia="zh-CN"/>
        </w:rPr>
        <w:t>6.建议项目实施单位在负荷不足的情况下，安全生产、排放达标并努力控制成本；项目主管部门持续推进雨污分流改造，实施管网提质增效工程项目，强化排水管网维护管理，以提高污水收集率和进水浓度。</w:t>
      </w:r>
      <w:bookmarkStart w:id="58" w:name="_Toc464"/>
      <w:bookmarkStart w:id="59" w:name="_GoBack"/>
      <w:bookmarkEnd w:id="59"/>
    </w:p>
    <w:bookmarkEnd w:id="58"/>
    <w:p>
      <w:pPr>
        <w:pStyle w:val="2"/>
        <w:rPr>
          <w:rFonts w:hint="eastAsia"/>
        </w:rPr>
      </w:pPr>
    </w:p>
    <w:sectPr>
      <w:headerReference r:id="rId5" w:type="default"/>
      <w:footerReference r:id="rId6" w:type="default"/>
      <w:pgSz w:w="11906" w:h="16838"/>
      <w:pgMar w:top="1440" w:right="1474" w:bottom="1440" w:left="1474" w:header="851" w:footer="992" w:gutter="0"/>
      <w:pgBorders>
        <w:top w:val="none" w:sz="0" w:space="0"/>
        <w:left w:val="none" w:sz="0" w:space="0"/>
        <w:bottom w:val="none" w:sz="0" w:space="0"/>
        <w:right w:val="none" w:sz="0" w:space="0"/>
      </w:pgBorders>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sz w:val="24"/>
        <w:szCs w:val="24"/>
      </w:rPr>
    </w:pPr>
  </w:p>
  <w:p>
    <w:pPr>
      <w:pStyle w:val="8"/>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9</w:t>
    </w:r>
    <w:r>
      <w:rPr>
        <w:sz w:val="24"/>
        <w:szCs w:val="24"/>
        <w:lang w:val="zh-CN"/>
      </w:rPr>
      <w:fldChar w:fldCharType="end"/>
    </w:r>
  </w:p>
  <w:p>
    <w:pPr>
      <w:pStyle w:val="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beforeLines="0" w:afterLines="0"/>
      <w:rPr>
        <w:rFonts w:hint="default"/>
        <w:sz w:val="18"/>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lNTM2OTM0NmYwMDMwOWM3NjBlYWQ3NzM1NTdjZjYifQ=="/>
  </w:docVars>
  <w:rsids>
    <w:rsidRoot w:val="179A7DFE"/>
    <w:rsid w:val="00002BF9"/>
    <w:rsid w:val="00006239"/>
    <w:rsid w:val="0001078D"/>
    <w:rsid w:val="000179A6"/>
    <w:rsid w:val="00017CFF"/>
    <w:rsid w:val="00021171"/>
    <w:rsid w:val="00021BBF"/>
    <w:rsid w:val="00030F51"/>
    <w:rsid w:val="00031DB1"/>
    <w:rsid w:val="000337F9"/>
    <w:rsid w:val="00042BE4"/>
    <w:rsid w:val="00043824"/>
    <w:rsid w:val="00045438"/>
    <w:rsid w:val="00045890"/>
    <w:rsid w:val="0005067B"/>
    <w:rsid w:val="00052741"/>
    <w:rsid w:val="00060B7A"/>
    <w:rsid w:val="0007169F"/>
    <w:rsid w:val="00075EEC"/>
    <w:rsid w:val="00085D4A"/>
    <w:rsid w:val="0008732D"/>
    <w:rsid w:val="00091E5A"/>
    <w:rsid w:val="00095CD8"/>
    <w:rsid w:val="00096B2B"/>
    <w:rsid w:val="000A31BF"/>
    <w:rsid w:val="000A5D8B"/>
    <w:rsid w:val="000A7767"/>
    <w:rsid w:val="000A7A60"/>
    <w:rsid w:val="000B1712"/>
    <w:rsid w:val="000B2C90"/>
    <w:rsid w:val="000C1C11"/>
    <w:rsid w:val="000C1CB5"/>
    <w:rsid w:val="000C3668"/>
    <w:rsid w:val="000C5E54"/>
    <w:rsid w:val="000D27BF"/>
    <w:rsid w:val="000D48A0"/>
    <w:rsid w:val="000D52A9"/>
    <w:rsid w:val="000D615E"/>
    <w:rsid w:val="000E1672"/>
    <w:rsid w:val="000E4CDE"/>
    <w:rsid w:val="000F1F2D"/>
    <w:rsid w:val="00112AB2"/>
    <w:rsid w:val="00112B17"/>
    <w:rsid w:val="00117D1D"/>
    <w:rsid w:val="00122220"/>
    <w:rsid w:val="00125F7F"/>
    <w:rsid w:val="00126CD7"/>
    <w:rsid w:val="00132055"/>
    <w:rsid w:val="00141520"/>
    <w:rsid w:val="00144FBD"/>
    <w:rsid w:val="00154948"/>
    <w:rsid w:val="00156C2F"/>
    <w:rsid w:val="00160F00"/>
    <w:rsid w:val="0016275D"/>
    <w:rsid w:val="00163D22"/>
    <w:rsid w:val="00170723"/>
    <w:rsid w:val="00174217"/>
    <w:rsid w:val="00182AB1"/>
    <w:rsid w:val="00191035"/>
    <w:rsid w:val="00192862"/>
    <w:rsid w:val="001943B3"/>
    <w:rsid w:val="001A087A"/>
    <w:rsid w:val="001A423F"/>
    <w:rsid w:val="001A4F6C"/>
    <w:rsid w:val="001A55B1"/>
    <w:rsid w:val="001B4087"/>
    <w:rsid w:val="001C2D2C"/>
    <w:rsid w:val="001C6CC2"/>
    <w:rsid w:val="001C7AB4"/>
    <w:rsid w:val="001D1BF8"/>
    <w:rsid w:val="001D6B40"/>
    <w:rsid w:val="001E1094"/>
    <w:rsid w:val="00212C37"/>
    <w:rsid w:val="00216A80"/>
    <w:rsid w:val="0021707E"/>
    <w:rsid w:val="00220DF7"/>
    <w:rsid w:val="00232E99"/>
    <w:rsid w:val="0024093D"/>
    <w:rsid w:val="002474A0"/>
    <w:rsid w:val="00264BE1"/>
    <w:rsid w:val="002663B8"/>
    <w:rsid w:val="00274FC0"/>
    <w:rsid w:val="002764E9"/>
    <w:rsid w:val="002772CE"/>
    <w:rsid w:val="002776E9"/>
    <w:rsid w:val="00280A10"/>
    <w:rsid w:val="00296820"/>
    <w:rsid w:val="002A1673"/>
    <w:rsid w:val="002A65EC"/>
    <w:rsid w:val="002C1A5E"/>
    <w:rsid w:val="002D1A15"/>
    <w:rsid w:val="002D2E77"/>
    <w:rsid w:val="002E45B7"/>
    <w:rsid w:val="002E4F01"/>
    <w:rsid w:val="002E715E"/>
    <w:rsid w:val="002F0C1A"/>
    <w:rsid w:val="002F5C4D"/>
    <w:rsid w:val="002F60C6"/>
    <w:rsid w:val="00302D78"/>
    <w:rsid w:val="00315BE8"/>
    <w:rsid w:val="00320613"/>
    <w:rsid w:val="003221C6"/>
    <w:rsid w:val="00322A08"/>
    <w:rsid w:val="00323FF9"/>
    <w:rsid w:val="00332FB2"/>
    <w:rsid w:val="003405B9"/>
    <w:rsid w:val="003455C7"/>
    <w:rsid w:val="00347520"/>
    <w:rsid w:val="00353122"/>
    <w:rsid w:val="00371A35"/>
    <w:rsid w:val="00380B73"/>
    <w:rsid w:val="0038444D"/>
    <w:rsid w:val="00386DD7"/>
    <w:rsid w:val="003930CA"/>
    <w:rsid w:val="003A0D21"/>
    <w:rsid w:val="003B3191"/>
    <w:rsid w:val="003B56CA"/>
    <w:rsid w:val="003D5109"/>
    <w:rsid w:val="003D57A4"/>
    <w:rsid w:val="003D5EBF"/>
    <w:rsid w:val="003E0944"/>
    <w:rsid w:val="003E31EF"/>
    <w:rsid w:val="003E322C"/>
    <w:rsid w:val="003E38ED"/>
    <w:rsid w:val="003E641C"/>
    <w:rsid w:val="003F480F"/>
    <w:rsid w:val="00401D82"/>
    <w:rsid w:val="00402B90"/>
    <w:rsid w:val="004038F0"/>
    <w:rsid w:val="00407341"/>
    <w:rsid w:val="004079D4"/>
    <w:rsid w:val="00411052"/>
    <w:rsid w:val="00413FA8"/>
    <w:rsid w:val="0042038B"/>
    <w:rsid w:val="00433100"/>
    <w:rsid w:val="004362DE"/>
    <w:rsid w:val="0044492E"/>
    <w:rsid w:val="0045112E"/>
    <w:rsid w:val="00457949"/>
    <w:rsid w:val="00461149"/>
    <w:rsid w:val="004615C1"/>
    <w:rsid w:val="004619FC"/>
    <w:rsid w:val="0046521B"/>
    <w:rsid w:val="004771C3"/>
    <w:rsid w:val="00480BDC"/>
    <w:rsid w:val="00481D80"/>
    <w:rsid w:val="0048354D"/>
    <w:rsid w:val="0048402C"/>
    <w:rsid w:val="00495479"/>
    <w:rsid w:val="004954C8"/>
    <w:rsid w:val="004A4876"/>
    <w:rsid w:val="004B03DA"/>
    <w:rsid w:val="004B5178"/>
    <w:rsid w:val="004B5BB7"/>
    <w:rsid w:val="004B6D51"/>
    <w:rsid w:val="004B7199"/>
    <w:rsid w:val="004C006C"/>
    <w:rsid w:val="004C1D26"/>
    <w:rsid w:val="004C3013"/>
    <w:rsid w:val="004C38B5"/>
    <w:rsid w:val="004C3EF3"/>
    <w:rsid w:val="004D2810"/>
    <w:rsid w:val="004E7695"/>
    <w:rsid w:val="004E7E13"/>
    <w:rsid w:val="004F0FFF"/>
    <w:rsid w:val="004F27DA"/>
    <w:rsid w:val="004F2ED7"/>
    <w:rsid w:val="004F630E"/>
    <w:rsid w:val="004F67BA"/>
    <w:rsid w:val="0050290C"/>
    <w:rsid w:val="00511523"/>
    <w:rsid w:val="005117D0"/>
    <w:rsid w:val="005142A8"/>
    <w:rsid w:val="00515BFE"/>
    <w:rsid w:val="00522FE0"/>
    <w:rsid w:val="00526229"/>
    <w:rsid w:val="00527646"/>
    <w:rsid w:val="0053250E"/>
    <w:rsid w:val="0053658F"/>
    <w:rsid w:val="0054210E"/>
    <w:rsid w:val="005468BD"/>
    <w:rsid w:val="00547DD1"/>
    <w:rsid w:val="00552C8F"/>
    <w:rsid w:val="00554AA0"/>
    <w:rsid w:val="005612A6"/>
    <w:rsid w:val="0056156F"/>
    <w:rsid w:val="00562A6A"/>
    <w:rsid w:val="00565120"/>
    <w:rsid w:val="00565E63"/>
    <w:rsid w:val="00575F8C"/>
    <w:rsid w:val="00582A95"/>
    <w:rsid w:val="00582EDC"/>
    <w:rsid w:val="005859BC"/>
    <w:rsid w:val="00585B45"/>
    <w:rsid w:val="00590E91"/>
    <w:rsid w:val="0059111B"/>
    <w:rsid w:val="005952C7"/>
    <w:rsid w:val="00595E2A"/>
    <w:rsid w:val="005A19DA"/>
    <w:rsid w:val="005B1B65"/>
    <w:rsid w:val="005C1F3C"/>
    <w:rsid w:val="005C412D"/>
    <w:rsid w:val="005D4BCE"/>
    <w:rsid w:val="005E1A7D"/>
    <w:rsid w:val="005E1D2E"/>
    <w:rsid w:val="005E4FB3"/>
    <w:rsid w:val="0060610B"/>
    <w:rsid w:val="0060761D"/>
    <w:rsid w:val="00616CFB"/>
    <w:rsid w:val="0062057C"/>
    <w:rsid w:val="0062083A"/>
    <w:rsid w:val="00621E0F"/>
    <w:rsid w:val="00624170"/>
    <w:rsid w:val="0063351C"/>
    <w:rsid w:val="0063375F"/>
    <w:rsid w:val="00636426"/>
    <w:rsid w:val="0064020A"/>
    <w:rsid w:val="00643241"/>
    <w:rsid w:val="00644CC5"/>
    <w:rsid w:val="00652FDC"/>
    <w:rsid w:val="00653FB6"/>
    <w:rsid w:val="00665656"/>
    <w:rsid w:val="00666B80"/>
    <w:rsid w:val="00677156"/>
    <w:rsid w:val="00686CD4"/>
    <w:rsid w:val="00687AB5"/>
    <w:rsid w:val="00696F6C"/>
    <w:rsid w:val="006B18B5"/>
    <w:rsid w:val="006B7176"/>
    <w:rsid w:val="006C0665"/>
    <w:rsid w:val="006C4618"/>
    <w:rsid w:val="006D20DB"/>
    <w:rsid w:val="006E2C16"/>
    <w:rsid w:val="006E37B4"/>
    <w:rsid w:val="006E6DCA"/>
    <w:rsid w:val="006F0EB5"/>
    <w:rsid w:val="006F4F60"/>
    <w:rsid w:val="007115D8"/>
    <w:rsid w:val="00717778"/>
    <w:rsid w:val="0071778E"/>
    <w:rsid w:val="00724CEE"/>
    <w:rsid w:val="00725D4B"/>
    <w:rsid w:val="007375F1"/>
    <w:rsid w:val="00737A92"/>
    <w:rsid w:val="00741B00"/>
    <w:rsid w:val="0076267B"/>
    <w:rsid w:val="00770B80"/>
    <w:rsid w:val="007755F6"/>
    <w:rsid w:val="00782159"/>
    <w:rsid w:val="007855D9"/>
    <w:rsid w:val="00786FA9"/>
    <w:rsid w:val="007921D4"/>
    <w:rsid w:val="0079239C"/>
    <w:rsid w:val="007928AC"/>
    <w:rsid w:val="007A199A"/>
    <w:rsid w:val="007A24B2"/>
    <w:rsid w:val="007A5130"/>
    <w:rsid w:val="007B0AF1"/>
    <w:rsid w:val="007E62CA"/>
    <w:rsid w:val="007F03E2"/>
    <w:rsid w:val="007F4D73"/>
    <w:rsid w:val="007F7554"/>
    <w:rsid w:val="0080443E"/>
    <w:rsid w:val="00810C13"/>
    <w:rsid w:val="00813C64"/>
    <w:rsid w:val="00814B59"/>
    <w:rsid w:val="00816A0B"/>
    <w:rsid w:val="008214B4"/>
    <w:rsid w:val="00823337"/>
    <w:rsid w:val="00830B32"/>
    <w:rsid w:val="008319AE"/>
    <w:rsid w:val="008319FC"/>
    <w:rsid w:val="00832557"/>
    <w:rsid w:val="00845D0D"/>
    <w:rsid w:val="00846563"/>
    <w:rsid w:val="00865AF2"/>
    <w:rsid w:val="008703A6"/>
    <w:rsid w:val="008724B6"/>
    <w:rsid w:val="00873266"/>
    <w:rsid w:val="0087378D"/>
    <w:rsid w:val="00882D94"/>
    <w:rsid w:val="00887E84"/>
    <w:rsid w:val="00896DBC"/>
    <w:rsid w:val="008A5A90"/>
    <w:rsid w:val="008A7567"/>
    <w:rsid w:val="008B03B9"/>
    <w:rsid w:val="008B1C13"/>
    <w:rsid w:val="008B5AC7"/>
    <w:rsid w:val="008B6378"/>
    <w:rsid w:val="008B7355"/>
    <w:rsid w:val="008D1117"/>
    <w:rsid w:val="008D4268"/>
    <w:rsid w:val="008E3B2B"/>
    <w:rsid w:val="008E6A3C"/>
    <w:rsid w:val="008E72D6"/>
    <w:rsid w:val="008E7A6F"/>
    <w:rsid w:val="008F2254"/>
    <w:rsid w:val="00900F86"/>
    <w:rsid w:val="009036AB"/>
    <w:rsid w:val="00903EDF"/>
    <w:rsid w:val="0090703F"/>
    <w:rsid w:val="009171DD"/>
    <w:rsid w:val="009223B7"/>
    <w:rsid w:val="00932076"/>
    <w:rsid w:val="00946B3E"/>
    <w:rsid w:val="00952AF4"/>
    <w:rsid w:val="00955671"/>
    <w:rsid w:val="00960299"/>
    <w:rsid w:val="009637C1"/>
    <w:rsid w:val="00967282"/>
    <w:rsid w:val="00972E70"/>
    <w:rsid w:val="00987835"/>
    <w:rsid w:val="00990352"/>
    <w:rsid w:val="0099380F"/>
    <w:rsid w:val="009942E5"/>
    <w:rsid w:val="00997E8A"/>
    <w:rsid w:val="009A05DE"/>
    <w:rsid w:val="009A1037"/>
    <w:rsid w:val="009B0AD7"/>
    <w:rsid w:val="009B52CB"/>
    <w:rsid w:val="009B633A"/>
    <w:rsid w:val="009C39CF"/>
    <w:rsid w:val="009C4FA7"/>
    <w:rsid w:val="009D6E5A"/>
    <w:rsid w:val="009E5393"/>
    <w:rsid w:val="009F2436"/>
    <w:rsid w:val="009F6839"/>
    <w:rsid w:val="00A12BA9"/>
    <w:rsid w:val="00A132E5"/>
    <w:rsid w:val="00A2798E"/>
    <w:rsid w:val="00A3177C"/>
    <w:rsid w:val="00A36133"/>
    <w:rsid w:val="00A41BAD"/>
    <w:rsid w:val="00A56660"/>
    <w:rsid w:val="00A6079C"/>
    <w:rsid w:val="00A62B6C"/>
    <w:rsid w:val="00A655A9"/>
    <w:rsid w:val="00A65876"/>
    <w:rsid w:val="00A66D70"/>
    <w:rsid w:val="00A81BF7"/>
    <w:rsid w:val="00A81C0B"/>
    <w:rsid w:val="00A82827"/>
    <w:rsid w:val="00A83BF1"/>
    <w:rsid w:val="00A858BA"/>
    <w:rsid w:val="00AA3E0D"/>
    <w:rsid w:val="00AA7ACD"/>
    <w:rsid w:val="00AA7BA6"/>
    <w:rsid w:val="00AC372F"/>
    <w:rsid w:val="00AD3987"/>
    <w:rsid w:val="00AE070F"/>
    <w:rsid w:val="00AF42CE"/>
    <w:rsid w:val="00AF4EEC"/>
    <w:rsid w:val="00AF6C37"/>
    <w:rsid w:val="00AF7F72"/>
    <w:rsid w:val="00B07448"/>
    <w:rsid w:val="00B079EB"/>
    <w:rsid w:val="00B12F3A"/>
    <w:rsid w:val="00B22FD7"/>
    <w:rsid w:val="00B3090C"/>
    <w:rsid w:val="00B336AB"/>
    <w:rsid w:val="00B441CF"/>
    <w:rsid w:val="00B46A30"/>
    <w:rsid w:val="00B50218"/>
    <w:rsid w:val="00B51A72"/>
    <w:rsid w:val="00B74AE9"/>
    <w:rsid w:val="00B81354"/>
    <w:rsid w:val="00B845C8"/>
    <w:rsid w:val="00B87615"/>
    <w:rsid w:val="00B909EB"/>
    <w:rsid w:val="00B93081"/>
    <w:rsid w:val="00B9695B"/>
    <w:rsid w:val="00BA10BF"/>
    <w:rsid w:val="00BA35C1"/>
    <w:rsid w:val="00BB40D7"/>
    <w:rsid w:val="00BC6B1A"/>
    <w:rsid w:val="00BD0311"/>
    <w:rsid w:val="00BD260D"/>
    <w:rsid w:val="00BD3556"/>
    <w:rsid w:val="00BD655D"/>
    <w:rsid w:val="00BF009F"/>
    <w:rsid w:val="00BF244B"/>
    <w:rsid w:val="00BF60FA"/>
    <w:rsid w:val="00C008B4"/>
    <w:rsid w:val="00C2275C"/>
    <w:rsid w:val="00C275EF"/>
    <w:rsid w:val="00C30081"/>
    <w:rsid w:val="00C31CE3"/>
    <w:rsid w:val="00C3219A"/>
    <w:rsid w:val="00C33F20"/>
    <w:rsid w:val="00C47D51"/>
    <w:rsid w:val="00C53234"/>
    <w:rsid w:val="00C55693"/>
    <w:rsid w:val="00C72F21"/>
    <w:rsid w:val="00C761EF"/>
    <w:rsid w:val="00C76DD7"/>
    <w:rsid w:val="00CA2EB8"/>
    <w:rsid w:val="00CA4F86"/>
    <w:rsid w:val="00CA5552"/>
    <w:rsid w:val="00CB40F1"/>
    <w:rsid w:val="00CB6BE5"/>
    <w:rsid w:val="00CC1355"/>
    <w:rsid w:val="00CC7EB1"/>
    <w:rsid w:val="00CD5879"/>
    <w:rsid w:val="00CE2892"/>
    <w:rsid w:val="00CE71A3"/>
    <w:rsid w:val="00CF2CC2"/>
    <w:rsid w:val="00CF50F2"/>
    <w:rsid w:val="00CF7F00"/>
    <w:rsid w:val="00CF7F8B"/>
    <w:rsid w:val="00D05659"/>
    <w:rsid w:val="00D057BD"/>
    <w:rsid w:val="00D05C9D"/>
    <w:rsid w:val="00D07B0E"/>
    <w:rsid w:val="00D235AB"/>
    <w:rsid w:val="00D268FC"/>
    <w:rsid w:val="00D323C8"/>
    <w:rsid w:val="00D32606"/>
    <w:rsid w:val="00D41279"/>
    <w:rsid w:val="00D4293C"/>
    <w:rsid w:val="00D441EE"/>
    <w:rsid w:val="00D44586"/>
    <w:rsid w:val="00D44982"/>
    <w:rsid w:val="00D45302"/>
    <w:rsid w:val="00D471F6"/>
    <w:rsid w:val="00D50B8D"/>
    <w:rsid w:val="00D55AA1"/>
    <w:rsid w:val="00D5625E"/>
    <w:rsid w:val="00D630E3"/>
    <w:rsid w:val="00D720FC"/>
    <w:rsid w:val="00D740AC"/>
    <w:rsid w:val="00D751C4"/>
    <w:rsid w:val="00D76D35"/>
    <w:rsid w:val="00D81AEA"/>
    <w:rsid w:val="00D823A7"/>
    <w:rsid w:val="00D930D4"/>
    <w:rsid w:val="00D933D1"/>
    <w:rsid w:val="00DA105F"/>
    <w:rsid w:val="00DB13C4"/>
    <w:rsid w:val="00DB6C30"/>
    <w:rsid w:val="00DC1AE6"/>
    <w:rsid w:val="00DC362D"/>
    <w:rsid w:val="00DC40AD"/>
    <w:rsid w:val="00DD1070"/>
    <w:rsid w:val="00DD334E"/>
    <w:rsid w:val="00DE02A7"/>
    <w:rsid w:val="00DE67F1"/>
    <w:rsid w:val="00DE6DA2"/>
    <w:rsid w:val="00DF1D68"/>
    <w:rsid w:val="00E025ED"/>
    <w:rsid w:val="00E10EE3"/>
    <w:rsid w:val="00E145F3"/>
    <w:rsid w:val="00E17449"/>
    <w:rsid w:val="00E20EA3"/>
    <w:rsid w:val="00E21597"/>
    <w:rsid w:val="00E224B6"/>
    <w:rsid w:val="00E23067"/>
    <w:rsid w:val="00E26124"/>
    <w:rsid w:val="00E26705"/>
    <w:rsid w:val="00E308EC"/>
    <w:rsid w:val="00E325D6"/>
    <w:rsid w:val="00E32C9E"/>
    <w:rsid w:val="00E36FE0"/>
    <w:rsid w:val="00E5050D"/>
    <w:rsid w:val="00E52674"/>
    <w:rsid w:val="00E53F5F"/>
    <w:rsid w:val="00E57149"/>
    <w:rsid w:val="00E57C54"/>
    <w:rsid w:val="00E60341"/>
    <w:rsid w:val="00E60591"/>
    <w:rsid w:val="00E627B4"/>
    <w:rsid w:val="00E6724E"/>
    <w:rsid w:val="00E80F23"/>
    <w:rsid w:val="00E81288"/>
    <w:rsid w:val="00E876C6"/>
    <w:rsid w:val="00E94E92"/>
    <w:rsid w:val="00E96429"/>
    <w:rsid w:val="00EA2444"/>
    <w:rsid w:val="00EA5C37"/>
    <w:rsid w:val="00EC7A75"/>
    <w:rsid w:val="00ED54DA"/>
    <w:rsid w:val="00EE0E0C"/>
    <w:rsid w:val="00EE404A"/>
    <w:rsid w:val="00EE46B8"/>
    <w:rsid w:val="00EF0E40"/>
    <w:rsid w:val="00EF1962"/>
    <w:rsid w:val="00EF1A86"/>
    <w:rsid w:val="00EF5D9C"/>
    <w:rsid w:val="00EF70B5"/>
    <w:rsid w:val="00F01ACB"/>
    <w:rsid w:val="00F147B0"/>
    <w:rsid w:val="00F16D51"/>
    <w:rsid w:val="00F20D3F"/>
    <w:rsid w:val="00F23DF9"/>
    <w:rsid w:val="00F25A4F"/>
    <w:rsid w:val="00F25A76"/>
    <w:rsid w:val="00F336BA"/>
    <w:rsid w:val="00F4414D"/>
    <w:rsid w:val="00F44F5F"/>
    <w:rsid w:val="00F46062"/>
    <w:rsid w:val="00F519E7"/>
    <w:rsid w:val="00F535C8"/>
    <w:rsid w:val="00F559C1"/>
    <w:rsid w:val="00F574D2"/>
    <w:rsid w:val="00F623F3"/>
    <w:rsid w:val="00F6459B"/>
    <w:rsid w:val="00F675F5"/>
    <w:rsid w:val="00F71CF8"/>
    <w:rsid w:val="00F75D6F"/>
    <w:rsid w:val="00F76CB8"/>
    <w:rsid w:val="00F80714"/>
    <w:rsid w:val="00F84AC0"/>
    <w:rsid w:val="00F95D11"/>
    <w:rsid w:val="00FB14C1"/>
    <w:rsid w:val="00FC6D82"/>
    <w:rsid w:val="00FD11F4"/>
    <w:rsid w:val="00FD16B5"/>
    <w:rsid w:val="00FD28BB"/>
    <w:rsid w:val="00FD5242"/>
    <w:rsid w:val="00FE72ED"/>
    <w:rsid w:val="00FF2D9A"/>
    <w:rsid w:val="014B08FF"/>
    <w:rsid w:val="01A749B0"/>
    <w:rsid w:val="022D2114"/>
    <w:rsid w:val="02CA69C9"/>
    <w:rsid w:val="02F61090"/>
    <w:rsid w:val="035A3774"/>
    <w:rsid w:val="03C05177"/>
    <w:rsid w:val="03C07382"/>
    <w:rsid w:val="04104B5B"/>
    <w:rsid w:val="04B00F88"/>
    <w:rsid w:val="05D05DE6"/>
    <w:rsid w:val="05DE4E38"/>
    <w:rsid w:val="06635490"/>
    <w:rsid w:val="06B4658F"/>
    <w:rsid w:val="07627CE7"/>
    <w:rsid w:val="087D6CD7"/>
    <w:rsid w:val="09E643CD"/>
    <w:rsid w:val="0BA05B13"/>
    <w:rsid w:val="0BCD6AE0"/>
    <w:rsid w:val="0C154BDA"/>
    <w:rsid w:val="0C340988"/>
    <w:rsid w:val="0C4469D5"/>
    <w:rsid w:val="0C745AD0"/>
    <w:rsid w:val="0DAF012D"/>
    <w:rsid w:val="0E4A2881"/>
    <w:rsid w:val="0F4D5AB0"/>
    <w:rsid w:val="0FB92047"/>
    <w:rsid w:val="0FF03B9A"/>
    <w:rsid w:val="1005446D"/>
    <w:rsid w:val="1061721B"/>
    <w:rsid w:val="107D5AB7"/>
    <w:rsid w:val="110C00AB"/>
    <w:rsid w:val="11785740"/>
    <w:rsid w:val="11B14060"/>
    <w:rsid w:val="13310CCD"/>
    <w:rsid w:val="14C63A2E"/>
    <w:rsid w:val="15BB7257"/>
    <w:rsid w:val="15ED4C2F"/>
    <w:rsid w:val="16DD7272"/>
    <w:rsid w:val="172404DE"/>
    <w:rsid w:val="17991C55"/>
    <w:rsid w:val="179A7DFE"/>
    <w:rsid w:val="18DC0E31"/>
    <w:rsid w:val="19BB54A5"/>
    <w:rsid w:val="1A2B252D"/>
    <w:rsid w:val="1ABC22F4"/>
    <w:rsid w:val="1BDB37F6"/>
    <w:rsid w:val="1D2B2F7C"/>
    <w:rsid w:val="1D952A37"/>
    <w:rsid w:val="1EB044EF"/>
    <w:rsid w:val="1FE35BFE"/>
    <w:rsid w:val="20D65A72"/>
    <w:rsid w:val="20E55EB4"/>
    <w:rsid w:val="20ED4B17"/>
    <w:rsid w:val="2190393F"/>
    <w:rsid w:val="21BB08DF"/>
    <w:rsid w:val="21D528C9"/>
    <w:rsid w:val="2283639D"/>
    <w:rsid w:val="229E0275"/>
    <w:rsid w:val="22BD56C6"/>
    <w:rsid w:val="23BF3B72"/>
    <w:rsid w:val="248154B2"/>
    <w:rsid w:val="24912949"/>
    <w:rsid w:val="251456B8"/>
    <w:rsid w:val="257302A1"/>
    <w:rsid w:val="26D568A3"/>
    <w:rsid w:val="28313A6D"/>
    <w:rsid w:val="29542197"/>
    <w:rsid w:val="2A9412BE"/>
    <w:rsid w:val="2C630FF3"/>
    <w:rsid w:val="2EBC2225"/>
    <w:rsid w:val="2EEF009E"/>
    <w:rsid w:val="2F1F2FAA"/>
    <w:rsid w:val="30484B34"/>
    <w:rsid w:val="316A7FA5"/>
    <w:rsid w:val="31D31D77"/>
    <w:rsid w:val="34875032"/>
    <w:rsid w:val="35796C31"/>
    <w:rsid w:val="35AB7BFD"/>
    <w:rsid w:val="35D07049"/>
    <w:rsid w:val="35F5305F"/>
    <w:rsid w:val="36262CA9"/>
    <w:rsid w:val="38A01DB3"/>
    <w:rsid w:val="3A2C2B3E"/>
    <w:rsid w:val="3A937945"/>
    <w:rsid w:val="3AEB3AA0"/>
    <w:rsid w:val="3B7C2DB8"/>
    <w:rsid w:val="3BB74292"/>
    <w:rsid w:val="3C10341E"/>
    <w:rsid w:val="3C4B16D9"/>
    <w:rsid w:val="3D683B0C"/>
    <w:rsid w:val="3DC362EA"/>
    <w:rsid w:val="3DD405AC"/>
    <w:rsid w:val="3E217EDE"/>
    <w:rsid w:val="3ECE4FA3"/>
    <w:rsid w:val="3F4809D0"/>
    <w:rsid w:val="3F916F38"/>
    <w:rsid w:val="3F942181"/>
    <w:rsid w:val="3FED0510"/>
    <w:rsid w:val="40675209"/>
    <w:rsid w:val="40997E68"/>
    <w:rsid w:val="40B25CC9"/>
    <w:rsid w:val="41494B60"/>
    <w:rsid w:val="42EE2F04"/>
    <w:rsid w:val="43551122"/>
    <w:rsid w:val="44F64404"/>
    <w:rsid w:val="45515F3F"/>
    <w:rsid w:val="458A3181"/>
    <w:rsid w:val="463C77EA"/>
    <w:rsid w:val="47E501C1"/>
    <w:rsid w:val="482955DB"/>
    <w:rsid w:val="48AD60BB"/>
    <w:rsid w:val="499D3907"/>
    <w:rsid w:val="4A365275"/>
    <w:rsid w:val="4AF12D99"/>
    <w:rsid w:val="4C746DB7"/>
    <w:rsid w:val="4C772927"/>
    <w:rsid w:val="4C8D1069"/>
    <w:rsid w:val="4DBD38FD"/>
    <w:rsid w:val="4E3D5020"/>
    <w:rsid w:val="4F007CA8"/>
    <w:rsid w:val="4F4001F6"/>
    <w:rsid w:val="509A373B"/>
    <w:rsid w:val="50F43F96"/>
    <w:rsid w:val="51D96C4C"/>
    <w:rsid w:val="5224675F"/>
    <w:rsid w:val="527903F5"/>
    <w:rsid w:val="53B574F4"/>
    <w:rsid w:val="54277093"/>
    <w:rsid w:val="54B96824"/>
    <w:rsid w:val="54ED5752"/>
    <w:rsid w:val="54F974D4"/>
    <w:rsid w:val="5521691A"/>
    <w:rsid w:val="56C96294"/>
    <w:rsid w:val="57F97DF1"/>
    <w:rsid w:val="59162E41"/>
    <w:rsid w:val="5A0F49B2"/>
    <w:rsid w:val="5B8911E2"/>
    <w:rsid w:val="5BAD1957"/>
    <w:rsid w:val="5D6B74D4"/>
    <w:rsid w:val="5DA55AF0"/>
    <w:rsid w:val="5EF62DCD"/>
    <w:rsid w:val="5F2D33BC"/>
    <w:rsid w:val="5F711212"/>
    <w:rsid w:val="5F846E03"/>
    <w:rsid w:val="5F8A5D20"/>
    <w:rsid w:val="5FDF0EC5"/>
    <w:rsid w:val="6175447D"/>
    <w:rsid w:val="62137D14"/>
    <w:rsid w:val="627672AA"/>
    <w:rsid w:val="627E2E39"/>
    <w:rsid w:val="62987E07"/>
    <w:rsid w:val="6470717E"/>
    <w:rsid w:val="64BC42DA"/>
    <w:rsid w:val="64D54896"/>
    <w:rsid w:val="6734622D"/>
    <w:rsid w:val="67911545"/>
    <w:rsid w:val="68911969"/>
    <w:rsid w:val="69B97681"/>
    <w:rsid w:val="6AA62DC3"/>
    <w:rsid w:val="6B1703C5"/>
    <w:rsid w:val="6B62458F"/>
    <w:rsid w:val="6C7F4402"/>
    <w:rsid w:val="6C906F04"/>
    <w:rsid w:val="6EBF1954"/>
    <w:rsid w:val="6F4B2CC1"/>
    <w:rsid w:val="70E22282"/>
    <w:rsid w:val="71057CE2"/>
    <w:rsid w:val="71564A8B"/>
    <w:rsid w:val="717B0A82"/>
    <w:rsid w:val="721E39C3"/>
    <w:rsid w:val="73593886"/>
    <w:rsid w:val="73A30A50"/>
    <w:rsid w:val="73D5352E"/>
    <w:rsid w:val="740C3D39"/>
    <w:rsid w:val="7447676F"/>
    <w:rsid w:val="74BA7FA9"/>
    <w:rsid w:val="75546BA3"/>
    <w:rsid w:val="75813F18"/>
    <w:rsid w:val="75A404FC"/>
    <w:rsid w:val="762929BC"/>
    <w:rsid w:val="77D06D9A"/>
    <w:rsid w:val="79192207"/>
    <w:rsid w:val="798C141D"/>
    <w:rsid w:val="79AF1EDD"/>
    <w:rsid w:val="79B86A1B"/>
    <w:rsid w:val="7B4C59ED"/>
    <w:rsid w:val="7BCA12E9"/>
    <w:rsid w:val="7CA23282"/>
    <w:rsid w:val="7DC244CD"/>
    <w:rsid w:val="7E162CD3"/>
    <w:rsid w:val="7E911DE3"/>
    <w:rsid w:val="7EFC5878"/>
    <w:rsid w:val="7F64209E"/>
    <w:rsid w:val="7FB00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1"/>
      <w:szCs w:val="24"/>
      <w:lang w:val="en-US" w:eastAsia="zh-CN" w:bidi="ar-SA"/>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0"/>
    <w:pPr>
      <w:ind w:firstLine="480" w:firstLineChars="200"/>
    </w:pPr>
    <w:rPr>
      <w:lang w:val="zh-CN"/>
    </w:rPr>
  </w:style>
  <w:style w:type="paragraph" w:styleId="3">
    <w:name w:val="toa heading"/>
    <w:basedOn w:val="1"/>
    <w:next w:val="1"/>
    <w:qFormat/>
    <w:uiPriority w:val="0"/>
    <w:pPr>
      <w:spacing w:before="120" w:after="200" w:line="276" w:lineRule="auto"/>
    </w:pPr>
    <w:rPr>
      <w:rFonts w:ascii="Arial" w:hAnsi="Arial" w:eastAsia="宋体" w:cs="Times New Roman"/>
      <w:sz w:val="24"/>
      <w:szCs w:val="24"/>
    </w:rPr>
  </w:style>
  <w:style w:type="paragraph" w:styleId="4">
    <w:name w:val="annotation text"/>
    <w:basedOn w:val="1"/>
    <w:qFormat/>
    <w:uiPriority w:val="0"/>
    <w:pPr>
      <w:jc w:val="left"/>
    </w:pPr>
  </w:style>
  <w:style w:type="paragraph" w:styleId="5">
    <w:name w:val="Body Text"/>
    <w:basedOn w:val="1"/>
    <w:qFormat/>
    <w:uiPriority w:val="1"/>
    <w:rPr>
      <w:rFonts w:ascii="宋体" w:hAnsi="宋体" w:cs="宋体"/>
      <w:sz w:val="32"/>
      <w:szCs w:val="32"/>
    </w:rPr>
  </w:style>
  <w:style w:type="paragraph" w:styleId="6">
    <w:name w:val="Body Text Indent"/>
    <w:basedOn w:val="1"/>
    <w:unhideWhenUsed/>
    <w:qFormat/>
    <w:uiPriority w:val="0"/>
    <w:pPr>
      <w:spacing w:beforeLines="0" w:afterLines="0"/>
      <w:ind w:firstLine="640" w:firstLineChars="200"/>
    </w:pPr>
    <w:rPr>
      <w:rFonts w:hint="default"/>
      <w:sz w:val="32"/>
    </w:r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qFormat/>
    <w:uiPriority w:val="0"/>
  </w:style>
  <w:style w:type="paragraph" w:styleId="11">
    <w:name w:val="Subtitle"/>
    <w:basedOn w:val="1"/>
    <w:next w:val="1"/>
    <w:qFormat/>
    <w:uiPriority w:val="0"/>
    <w:pPr>
      <w:spacing w:line="312" w:lineRule="auto"/>
      <w:jc w:val="center"/>
      <w:outlineLvl w:val="1"/>
    </w:pPr>
    <w:rPr>
      <w:rFonts w:ascii="Cambria" w:hAnsi="Cambria"/>
      <w:b/>
      <w:bCs/>
      <w:kern w:val="28"/>
      <w:sz w:val="32"/>
      <w:szCs w:val="32"/>
    </w:rPr>
  </w:style>
  <w:style w:type="paragraph" w:styleId="12">
    <w:name w:val="toc 2"/>
    <w:basedOn w:val="1"/>
    <w:next w:val="1"/>
    <w:qFormat/>
    <w:uiPriority w:val="0"/>
    <w:pPr>
      <w:ind w:left="420" w:leftChars="200"/>
    </w:pPr>
  </w:style>
  <w:style w:type="paragraph" w:styleId="1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4">
    <w:name w:val="Body Text First Indent 2"/>
    <w:basedOn w:val="6"/>
    <w:unhideWhenUsed/>
    <w:qFormat/>
    <w:uiPriority w:val="99"/>
    <w:pPr>
      <w:spacing w:beforeLines="0" w:afterLines="0"/>
      <w:ind w:firstLine="420"/>
    </w:pPr>
    <w:rPr>
      <w:rFonts w:hint="default"/>
      <w:sz w:val="32"/>
    </w:rPr>
  </w:style>
  <w:style w:type="table" w:styleId="16">
    <w:name w:val="Table Grid"/>
    <w:basedOn w:val="15"/>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Emphasis"/>
    <w:basedOn w:val="17"/>
    <w:qFormat/>
    <w:uiPriority w:val="0"/>
    <w:rPr>
      <w:i/>
    </w:rPr>
  </w:style>
  <w:style w:type="character" w:styleId="19">
    <w:name w:val="Hyperlink"/>
    <w:basedOn w:val="17"/>
    <w:qFormat/>
    <w:uiPriority w:val="0"/>
    <w:rPr>
      <w:color w:val="0000FF"/>
      <w:u w:val="single"/>
    </w:rPr>
  </w:style>
  <w:style w:type="character" w:customStyle="1" w:styleId="20">
    <w:name w:val="页眉 Char"/>
    <w:basedOn w:val="17"/>
    <w:link w:val="9"/>
    <w:qFormat/>
    <w:uiPriority w:val="0"/>
    <w:rPr>
      <w:kern w:val="2"/>
      <w:sz w:val="18"/>
      <w:szCs w:val="18"/>
    </w:rPr>
  </w:style>
  <w:style w:type="paragraph" w:styleId="21">
    <w:name w:val="List Paragraph"/>
    <w:basedOn w:val="1"/>
    <w:unhideWhenUsed/>
    <w:qFormat/>
    <w:uiPriority w:val="99"/>
    <w:pPr>
      <w:ind w:firstLine="420" w:firstLineChars="200"/>
    </w:pPr>
  </w:style>
  <w:style w:type="paragraph" w:customStyle="1" w:styleId="22">
    <w:name w:val="WPSOffice手动目录 1"/>
    <w:qFormat/>
    <w:uiPriority w:val="0"/>
    <w:pPr>
      <w:ind w:leftChars="0"/>
    </w:pPr>
    <w:rPr>
      <w:rFonts w:ascii="Calibri" w:hAnsi="Calibri" w:eastAsia="宋体" w:cs="Times New Roman"/>
      <w:sz w:val="20"/>
      <w:szCs w:val="20"/>
    </w:rPr>
  </w:style>
  <w:style w:type="paragraph" w:customStyle="1" w:styleId="23">
    <w:name w:val="WPSOffice手动目录 2"/>
    <w:qFormat/>
    <w:uiPriority w:val="0"/>
    <w:pPr>
      <w:ind w:leftChars="200"/>
    </w:pPr>
    <w:rPr>
      <w:rFonts w:ascii="Calibri" w:hAnsi="Calibri" w:eastAsia="宋体" w:cs="Times New Roman"/>
      <w:sz w:val="20"/>
      <w:szCs w:val="20"/>
    </w:rPr>
  </w:style>
  <w:style w:type="paragraph" w:customStyle="1" w:styleId="24">
    <w:name w:val="WPSOffice手动目录 3"/>
    <w:qFormat/>
    <w:uiPriority w:val="0"/>
    <w:pPr>
      <w:ind w:leftChars="400"/>
    </w:pPr>
    <w:rPr>
      <w:rFonts w:ascii="Calibri" w:hAnsi="Calibri" w:eastAsia="宋体" w:cs="Times New Roman"/>
      <w:sz w:val="20"/>
      <w:szCs w:val="20"/>
    </w:rPr>
  </w:style>
  <w:style w:type="character" w:customStyle="1" w:styleId="25">
    <w:name w:val="font31"/>
    <w:basedOn w:val="17"/>
    <w:qFormat/>
    <w:uiPriority w:val="0"/>
    <w:rPr>
      <w:rFonts w:hint="default" w:ascii="仿宋_GB2312" w:eastAsia="仿宋_GB2312" w:cs="仿宋_GB2312"/>
      <w:color w:val="000000"/>
      <w:sz w:val="21"/>
      <w:szCs w:val="21"/>
      <w:u w:val="none"/>
    </w:rPr>
  </w:style>
  <w:style w:type="character" w:customStyle="1" w:styleId="26">
    <w:name w:val="font01"/>
    <w:basedOn w:val="17"/>
    <w:qFormat/>
    <w:uiPriority w:val="0"/>
    <w:rPr>
      <w:rFonts w:hint="eastAsia" w:ascii="宋体" w:hAnsi="宋体" w:eastAsia="宋体" w:cs="宋体"/>
      <w:color w:val="000000"/>
      <w:sz w:val="21"/>
      <w:szCs w:val="21"/>
      <w:u w:val="none"/>
    </w:rPr>
  </w:style>
  <w:style w:type="character" w:customStyle="1" w:styleId="27">
    <w:name w:val="font11"/>
    <w:basedOn w:val="17"/>
    <w:qFormat/>
    <w:uiPriority w:val="0"/>
    <w:rPr>
      <w:rFonts w:hint="default" w:ascii="仿宋_GB2312" w:eastAsia="仿宋_GB2312" w:cs="仿宋_GB2312"/>
      <w:color w:val="000000"/>
      <w:sz w:val="20"/>
      <w:szCs w:val="20"/>
      <w:u w:val="none"/>
    </w:rPr>
  </w:style>
  <w:style w:type="character" w:customStyle="1" w:styleId="28">
    <w:name w:val="font81"/>
    <w:basedOn w:val="17"/>
    <w:qFormat/>
    <w:uiPriority w:val="0"/>
    <w:rPr>
      <w:rFonts w:hint="eastAsia" w:ascii="宋体" w:hAnsi="宋体" w:eastAsia="宋体" w:cs="宋体"/>
      <w:color w:val="000000"/>
      <w:sz w:val="20"/>
      <w:szCs w:val="20"/>
      <w:u w:val="none"/>
    </w:rPr>
  </w:style>
  <w:style w:type="character" w:customStyle="1" w:styleId="29">
    <w:name w:val="font101"/>
    <w:basedOn w:val="17"/>
    <w:qFormat/>
    <w:uiPriority w:val="0"/>
    <w:rPr>
      <w:rFonts w:hint="default" w:ascii="仿宋_GB2312" w:eastAsia="仿宋_GB2312" w:cs="仿宋_GB2312"/>
      <w:color w:val="000000"/>
      <w:sz w:val="24"/>
      <w:szCs w:val="24"/>
      <w:u w:val="none"/>
    </w:rPr>
  </w:style>
  <w:style w:type="character" w:customStyle="1" w:styleId="30">
    <w:name w:val="font41"/>
    <w:basedOn w:val="17"/>
    <w:qFormat/>
    <w:uiPriority w:val="0"/>
    <w:rPr>
      <w:rFonts w:hint="eastAsia" w:ascii="宋体" w:hAnsi="宋体" w:eastAsia="宋体" w:cs="宋体"/>
      <w:color w:val="000000"/>
      <w:sz w:val="24"/>
      <w:szCs w:val="24"/>
      <w:u w:val="none"/>
    </w:rPr>
  </w:style>
  <w:style w:type="character" w:customStyle="1" w:styleId="31">
    <w:name w:val="font61"/>
    <w:basedOn w:val="17"/>
    <w:qFormat/>
    <w:uiPriority w:val="0"/>
    <w:rPr>
      <w:rFonts w:hint="eastAsia" w:ascii="宋体" w:hAnsi="宋体" w:eastAsia="宋体" w:cs="宋体"/>
      <w:b/>
      <w:bCs/>
      <w:color w:val="000000"/>
      <w:sz w:val="21"/>
      <w:szCs w:val="21"/>
      <w:u w:val="none"/>
    </w:rPr>
  </w:style>
  <w:style w:type="character" w:customStyle="1" w:styleId="32">
    <w:name w:val="font112"/>
    <w:basedOn w:val="17"/>
    <w:qFormat/>
    <w:uiPriority w:val="0"/>
    <w:rPr>
      <w:rFonts w:hint="default" w:ascii="仿宋_GB2312" w:eastAsia="仿宋_GB2312" w:cs="仿宋_GB2312"/>
      <w:b/>
      <w:bCs/>
      <w:color w:val="000000"/>
      <w:sz w:val="21"/>
      <w:szCs w:val="21"/>
      <w:u w:val="none"/>
    </w:rPr>
  </w:style>
  <w:style w:type="character" w:customStyle="1" w:styleId="33">
    <w:name w:val="font71"/>
    <w:basedOn w:val="17"/>
    <w:qFormat/>
    <w:uiPriority w:val="0"/>
    <w:rPr>
      <w:rFonts w:hint="eastAsia" w:ascii="宋体" w:hAnsi="宋体" w:eastAsia="宋体" w:cs="宋体"/>
      <w:color w:val="000000"/>
      <w:sz w:val="20"/>
      <w:szCs w:val="20"/>
      <w:u w:val="none"/>
    </w:rPr>
  </w:style>
  <w:style w:type="character" w:customStyle="1" w:styleId="34">
    <w:name w:val="font91"/>
    <w:basedOn w:val="17"/>
    <w:qFormat/>
    <w:uiPriority w:val="0"/>
    <w:rPr>
      <w:rFonts w:hint="default" w:ascii="仿宋_GB2312" w:eastAsia="仿宋_GB2312" w:cs="仿宋_GB2312"/>
      <w:color w:val="000000"/>
      <w:sz w:val="24"/>
      <w:szCs w:val="24"/>
      <w:u w:val="none"/>
    </w:rPr>
  </w:style>
  <w:style w:type="paragraph" w:customStyle="1" w:styleId="35">
    <w:name w:val="Body text|1"/>
    <w:basedOn w:val="1"/>
    <w:qFormat/>
    <w:uiPriority w:val="0"/>
    <w:pPr>
      <w:widowControl w:val="0"/>
      <w:shd w:val="clear" w:color="auto" w:fill="auto"/>
      <w:spacing w:after="140" w:line="480" w:lineRule="auto"/>
      <w:ind w:firstLine="40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EEFABEF-77D3-4CCE-8E45-A380BA264AB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32</Pages>
  <Words>15600</Words>
  <Characters>17685</Characters>
  <Lines>59</Lines>
  <Paragraphs>16</Paragraphs>
  <TotalTime>0</TotalTime>
  <ScaleCrop>false</ScaleCrop>
  <LinksUpToDate>false</LinksUpToDate>
  <CharactersWithSpaces>17887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2016-10-19T09:38:00Z</dcterms:created>
  <dc:creator>Administrator</dc:creator>
  <cp:lastModifiedBy>双双</cp:lastModifiedBy>
  <cp:lastPrinted>2016-12-19T00:58:00Z</cp:lastPrinted>
  <dcterms:modified xsi:type="dcterms:W3CDTF">2023-10-17T06:49:13Z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3FEB33647DF34A80816E106F30907DB6_13</vt:lpwstr>
  </property>
</Properties>
</file>