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hd w:val="clear"/>
        <w:kinsoku/>
        <w:wordWrap/>
        <w:overflowPunct/>
        <w:topLinePunct w:val="0"/>
        <w:autoSpaceDE/>
        <w:autoSpaceDN/>
        <w:bidi w:val="0"/>
        <w:adjustRightInd/>
        <w:snapToGrid/>
        <w:spacing w:line="360" w:lineRule="auto"/>
        <w:ind w:firstLine="883" w:firstLineChars="200"/>
        <w:jc w:val="center"/>
        <w:textAlignment w:val="auto"/>
        <w:rPr>
          <w:rFonts w:hint="eastAsia" w:ascii="仿宋" w:hAnsi="仿宋" w:eastAsia="仿宋" w:cs="仿宋"/>
          <w:spacing w:val="-8"/>
          <w:sz w:val="32"/>
          <w:szCs w:val="32"/>
          <w:highlight w:val="none"/>
        </w:rPr>
      </w:pPr>
      <w:bookmarkStart w:id="0" w:name="_Toc390267051"/>
      <w:r>
        <w:rPr>
          <w:rFonts w:hint="eastAsia" w:ascii="宋体" w:hAnsi="宋体" w:eastAsia="宋体" w:cs="宋体"/>
          <w:b/>
          <w:bCs/>
          <w:color w:val="000000"/>
          <w:sz w:val="44"/>
          <w:szCs w:val="44"/>
          <w:lang w:val="en-US" w:eastAsia="zh-CN"/>
        </w:rPr>
        <w:t>邵阳市北塔区茶元头乡污水截流工程项目</w:t>
      </w:r>
      <w:r>
        <w:rPr>
          <w:rFonts w:hint="eastAsia" w:ascii="宋体" w:hAnsi="宋体" w:eastAsia="宋体" w:cs="宋体"/>
          <w:b/>
          <w:bCs/>
          <w:sz w:val="44"/>
          <w:szCs w:val="44"/>
          <w:lang w:val="en-US" w:eastAsia="zh-CN"/>
        </w:rPr>
        <w:t>专项债券资金</w:t>
      </w:r>
      <w:r>
        <w:rPr>
          <w:rFonts w:hint="eastAsia" w:ascii="宋体" w:hAnsi="宋体" w:eastAsia="宋体" w:cs="宋体"/>
          <w:b/>
          <w:bCs/>
          <w:sz w:val="44"/>
          <w:szCs w:val="44"/>
          <w:lang w:eastAsia="zh-CN"/>
        </w:rPr>
        <w:t>绩效评价报告</w:t>
      </w:r>
      <w:bookmarkStart w:id="1" w:name="_Toc27520"/>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val="en-US" w:eastAsia="zh-CN"/>
        </w:rPr>
      </w:pPr>
    </w:p>
    <w:p>
      <w:pPr>
        <w:pStyle w:val="2"/>
        <w:rPr>
          <w:ins w:id="0" w:author="双双" w:date="2023-10-17T14:57:23Z"/>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黑体" w:hAnsi="黑体" w:eastAsia="黑体" w:cs="黑体"/>
          <w:b w:val="0"/>
          <w:bCs w:val="0"/>
          <w:sz w:val="32"/>
          <w:szCs w:val="32"/>
          <w:highlight w:val="none"/>
        </w:rPr>
      </w:pPr>
      <w:r>
        <w:rPr>
          <w:rFonts w:hint="eastAsia" w:ascii="仿宋" w:hAnsi="仿宋" w:eastAsia="仿宋" w:cs="仿宋"/>
          <w:sz w:val="32"/>
          <w:szCs w:val="32"/>
          <w:lang w:val="en-US" w:eastAsia="zh-CN"/>
        </w:rPr>
        <w:t>根据《中共中央 国务院关于全面实施预算绩效管理的意见》（中发〔2018〕34号）、《中共湖南省委办公厅 湖南省人民政府办公厅关于全面实施预算绩效管理的实施意见》（湘办发〔2019〕10号）和《湖南省财政厅关于印发湖南省预算支出绩效评价管理办法的通知》（湘财绩〔2020〕7号）、</w:t>
      </w:r>
      <w:r>
        <w:rPr>
          <w:rFonts w:hint="eastAsia" w:ascii="仿宋" w:hAnsi="仿宋" w:eastAsia="仿宋" w:cs="仿宋"/>
          <w:sz w:val="32"/>
          <w:szCs w:val="32"/>
          <w:highlight w:val="none"/>
          <w:lang w:val="en-US" w:eastAsia="zh-CN"/>
        </w:rPr>
        <w:t>湖南省财政厅关于印发《湖南省政府债务项目绩效管理暂行办法》的通知（湘财绩[2020]12号）</w:t>
      </w:r>
      <w:r>
        <w:rPr>
          <w:rFonts w:hint="eastAsia" w:ascii="仿宋" w:hAnsi="仿宋" w:eastAsia="仿宋" w:cs="仿宋"/>
          <w:sz w:val="32"/>
          <w:szCs w:val="32"/>
          <w:lang w:val="en-US" w:eastAsia="zh-CN"/>
        </w:rPr>
        <w:t>等有关规定，</w:t>
      </w:r>
      <w:r>
        <w:rPr>
          <w:rFonts w:hint="eastAsia" w:ascii="仿宋" w:hAnsi="仿宋" w:eastAsia="仿宋" w:cs="仿宋"/>
          <w:spacing w:val="-8"/>
          <w:sz w:val="32"/>
          <w:szCs w:val="32"/>
          <w:highlight w:val="none"/>
          <w:lang w:eastAsia="zh-CN"/>
        </w:rPr>
        <w:t>按照</w:t>
      </w:r>
      <w:r>
        <w:rPr>
          <w:rFonts w:hint="eastAsia" w:ascii="仿宋" w:hAnsi="仿宋" w:eastAsia="仿宋" w:cs="仿宋"/>
          <w:spacing w:val="-8"/>
          <w:sz w:val="32"/>
          <w:szCs w:val="32"/>
          <w:highlight w:val="none"/>
        </w:rPr>
        <w:t>《</w:t>
      </w:r>
      <w:r>
        <w:rPr>
          <w:rFonts w:hint="eastAsia" w:ascii="仿宋" w:hAnsi="仿宋" w:eastAsia="仿宋" w:cs="仿宋"/>
          <w:spacing w:val="-8"/>
          <w:sz w:val="32"/>
          <w:szCs w:val="32"/>
          <w:highlight w:val="none"/>
          <w:lang w:eastAsia="zh-CN"/>
        </w:rPr>
        <w:t>邵阳市财政局关于开展邵阳市茶元头乡污水截流工程项目债券资金绩效评价工作的通知</w:t>
      </w:r>
      <w:r>
        <w:rPr>
          <w:rFonts w:hint="eastAsia" w:ascii="仿宋" w:hAnsi="仿宋" w:eastAsia="仿宋" w:cs="仿宋"/>
          <w:spacing w:val="-8"/>
          <w:sz w:val="32"/>
          <w:szCs w:val="32"/>
          <w:highlight w:val="none"/>
        </w:rPr>
        <w:t>》（</w:t>
      </w:r>
      <w:r>
        <w:rPr>
          <w:rFonts w:hint="eastAsia" w:ascii="仿宋" w:hAnsi="仿宋" w:eastAsia="仿宋" w:cs="仿宋"/>
          <w:spacing w:val="-8"/>
          <w:sz w:val="32"/>
          <w:szCs w:val="32"/>
          <w:highlight w:val="none"/>
          <w:lang w:eastAsia="zh-CN"/>
        </w:rPr>
        <w:t>邵</w:t>
      </w:r>
      <w:r>
        <w:rPr>
          <w:rFonts w:hint="eastAsia" w:ascii="仿宋" w:hAnsi="仿宋" w:eastAsia="仿宋" w:cs="仿宋"/>
          <w:spacing w:val="-8"/>
          <w:sz w:val="32"/>
          <w:szCs w:val="32"/>
          <w:highlight w:val="none"/>
        </w:rPr>
        <w:t>财绩〔202</w:t>
      </w:r>
      <w:r>
        <w:rPr>
          <w:rFonts w:hint="eastAsia" w:ascii="仿宋" w:hAnsi="仿宋" w:eastAsia="仿宋" w:cs="仿宋"/>
          <w:spacing w:val="-8"/>
          <w:sz w:val="32"/>
          <w:szCs w:val="32"/>
          <w:highlight w:val="none"/>
          <w:lang w:val="en-US" w:eastAsia="zh-CN"/>
        </w:rPr>
        <w:t>3</w:t>
      </w:r>
      <w:r>
        <w:rPr>
          <w:rFonts w:hint="eastAsia" w:ascii="仿宋" w:hAnsi="仿宋" w:eastAsia="仿宋" w:cs="仿宋"/>
          <w:spacing w:val="-8"/>
          <w:sz w:val="32"/>
          <w:szCs w:val="32"/>
          <w:highlight w:val="none"/>
        </w:rPr>
        <w:t>〕</w:t>
      </w:r>
      <w:r>
        <w:rPr>
          <w:rFonts w:hint="eastAsia" w:ascii="仿宋" w:hAnsi="仿宋" w:eastAsia="仿宋" w:cs="仿宋"/>
          <w:spacing w:val="-8"/>
          <w:sz w:val="32"/>
          <w:szCs w:val="32"/>
          <w:highlight w:val="none"/>
          <w:lang w:val="en-US" w:eastAsia="zh-CN"/>
        </w:rPr>
        <w:t>18</w:t>
      </w:r>
      <w:r>
        <w:rPr>
          <w:rFonts w:hint="eastAsia" w:ascii="仿宋" w:hAnsi="仿宋" w:eastAsia="仿宋" w:cs="仿宋"/>
          <w:spacing w:val="-8"/>
          <w:sz w:val="32"/>
          <w:szCs w:val="32"/>
          <w:highlight w:val="none"/>
        </w:rPr>
        <w:t>号）要求，</w:t>
      </w:r>
      <w:r>
        <w:rPr>
          <w:rFonts w:hint="eastAsia" w:ascii="仿宋" w:hAnsi="仿宋" w:eastAsia="仿宋" w:cs="仿宋"/>
          <w:spacing w:val="-8"/>
          <w:sz w:val="32"/>
          <w:szCs w:val="32"/>
          <w:highlight w:val="none"/>
          <w:lang w:eastAsia="zh-CN"/>
        </w:rPr>
        <w:t>根据招投标中标结果，我们接受邵阳市财政</w:t>
      </w:r>
      <w:r>
        <w:rPr>
          <w:rFonts w:hint="eastAsia" w:ascii="仿宋" w:hAnsi="仿宋" w:eastAsia="仿宋" w:cs="仿宋"/>
          <w:spacing w:val="-8"/>
          <w:sz w:val="32"/>
          <w:szCs w:val="32"/>
          <w:highlight w:val="none"/>
        </w:rPr>
        <w:t>局委托组成评价工作组，对</w:t>
      </w:r>
      <w:r>
        <w:rPr>
          <w:rFonts w:hint="eastAsia" w:ascii="仿宋" w:hAnsi="仿宋" w:eastAsia="仿宋" w:cs="仿宋"/>
          <w:spacing w:val="-8"/>
          <w:sz w:val="32"/>
          <w:szCs w:val="32"/>
          <w:highlight w:val="none"/>
          <w:lang w:eastAsia="zh-CN"/>
        </w:rPr>
        <w:t>邵阳市茶元头乡污水截流工程项目专项债券资金</w:t>
      </w:r>
      <w:r>
        <w:rPr>
          <w:rFonts w:hint="eastAsia" w:ascii="仿宋" w:hAnsi="仿宋" w:eastAsia="仿宋" w:cs="仿宋"/>
          <w:spacing w:val="-8"/>
          <w:sz w:val="32"/>
          <w:szCs w:val="32"/>
          <w:highlight w:val="none"/>
        </w:rPr>
        <w:t>进行</w:t>
      </w:r>
      <w:r>
        <w:rPr>
          <w:rFonts w:hint="eastAsia" w:ascii="仿宋" w:hAnsi="仿宋" w:eastAsia="仿宋" w:cs="仿宋"/>
          <w:spacing w:val="-8"/>
          <w:sz w:val="32"/>
          <w:szCs w:val="32"/>
          <w:highlight w:val="none"/>
          <w:lang w:eastAsia="zh-CN"/>
        </w:rPr>
        <w:t>了</w:t>
      </w:r>
      <w:r>
        <w:rPr>
          <w:rFonts w:hint="eastAsia" w:ascii="仿宋" w:hAnsi="仿宋" w:eastAsia="仿宋" w:cs="仿宋"/>
          <w:spacing w:val="-8"/>
          <w:sz w:val="32"/>
          <w:szCs w:val="32"/>
          <w:highlight w:val="none"/>
        </w:rPr>
        <w:t>绩效评价。现将绩效评价情况报告如下：</w:t>
      </w:r>
    </w:p>
    <w:p>
      <w:pPr>
        <w:pStyle w:val="10"/>
        <w:keepNext w:val="0"/>
        <w:keepLines w:val="0"/>
        <w:pageBreakBefore w:val="0"/>
        <w:widowControl w:val="0"/>
        <w:shd w:val="clear"/>
        <w:kinsoku/>
        <w:wordWrap/>
        <w:overflowPunct/>
        <w:topLinePunct w:val="0"/>
        <w:autoSpaceDE/>
        <w:autoSpaceDN/>
        <w:bidi w:val="0"/>
        <w:adjustRightInd/>
        <w:snapToGrid/>
        <w:spacing w:line="360" w:lineRule="auto"/>
        <w:ind w:firstLine="640" w:firstLineChars="200"/>
        <w:jc w:val="left"/>
        <w:textAlignment w:val="auto"/>
        <w:outlineLvl w:val="0"/>
        <w:rPr>
          <w:rFonts w:hint="eastAsia" w:ascii="黑体" w:hAnsi="黑体" w:eastAsia="黑体" w:cs="黑体"/>
          <w:b w:val="0"/>
          <w:bCs w:val="0"/>
          <w:sz w:val="32"/>
          <w:szCs w:val="32"/>
          <w:highlight w:val="none"/>
        </w:rPr>
      </w:pPr>
      <w:r>
        <w:rPr>
          <w:rFonts w:hint="eastAsia" w:ascii="黑体" w:hAnsi="黑体" w:eastAsia="黑体" w:cs="黑体"/>
          <w:b w:val="0"/>
          <w:bCs w:val="0"/>
          <w:sz w:val="32"/>
          <w:szCs w:val="32"/>
          <w:highlight w:val="none"/>
        </w:rPr>
        <w:t>一、项目基本情况</w:t>
      </w:r>
      <w:bookmarkEnd w:id="0"/>
      <w:bookmarkEnd w:id="1"/>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outlineLvl w:val="1"/>
        <w:rPr>
          <w:rFonts w:hint="eastAsia" w:ascii="楷体" w:hAnsi="楷体" w:eastAsia="楷体" w:cs="楷体"/>
          <w:b/>
          <w:bCs/>
          <w:sz w:val="32"/>
          <w:szCs w:val="32"/>
          <w:highlight w:val="none"/>
          <w:lang w:eastAsia="zh-CN"/>
        </w:rPr>
      </w:pPr>
      <w:bookmarkStart w:id="2" w:name="_Toc28338"/>
      <w:r>
        <w:rPr>
          <w:rFonts w:hint="eastAsia" w:ascii="楷体" w:hAnsi="楷体" w:eastAsia="楷体" w:cs="楷体"/>
          <w:b/>
          <w:bCs/>
          <w:sz w:val="32"/>
          <w:szCs w:val="32"/>
          <w:highlight w:val="none"/>
        </w:rPr>
        <w:t>（一）</w:t>
      </w:r>
      <w:r>
        <w:rPr>
          <w:rFonts w:hint="eastAsia" w:ascii="楷体" w:hAnsi="楷体" w:eastAsia="楷体" w:cs="楷体"/>
          <w:b/>
          <w:bCs/>
          <w:sz w:val="32"/>
          <w:szCs w:val="32"/>
          <w:highlight w:val="none"/>
          <w:lang w:eastAsia="zh-CN"/>
        </w:rPr>
        <w:t>项目概况</w:t>
      </w:r>
      <w:bookmarkEnd w:id="2"/>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1.项目背景</w:t>
      </w:r>
    </w:p>
    <w:p>
      <w:pPr>
        <w:keepNext w:val="0"/>
        <w:keepLines w:val="0"/>
        <w:pageBreakBefore w:val="0"/>
        <w:widowControl w:val="0"/>
        <w:kinsoku/>
        <w:wordWrap/>
        <w:overflowPunct/>
        <w:topLinePunct w:val="0"/>
        <w:autoSpaceDE/>
        <w:autoSpaceDN/>
        <w:bidi w:val="0"/>
        <w:adjustRightInd/>
        <w:snapToGrid/>
        <w:spacing w:line="360" w:lineRule="auto"/>
        <w:ind w:firstLine="608"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pacing w:val="-8"/>
          <w:sz w:val="32"/>
          <w:szCs w:val="32"/>
          <w:highlight w:val="none"/>
          <w:lang w:eastAsia="zh-CN"/>
        </w:rPr>
        <w:t>邵阳市茶元头乡污水截流工程项目是一项</w:t>
      </w:r>
      <w:r>
        <w:rPr>
          <w:rFonts w:hint="eastAsia" w:ascii="仿宋" w:hAnsi="仿宋" w:eastAsia="仿宋" w:cs="仿宋"/>
          <w:spacing w:val="-8"/>
          <w:sz w:val="32"/>
          <w:szCs w:val="32"/>
          <w:highlight w:val="none"/>
          <w:lang w:val="en-US" w:eastAsia="zh-CN"/>
        </w:rPr>
        <w:t>环保工程、</w:t>
      </w:r>
      <w:r>
        <w:rPr>
          <w:rFonts w:hint="eastAsia" w:ascii="仿宋" w:hAnsi="仿宋" w:eastAsia="仿宋" w:cs="仿宋"/>
          <w:spacing w:val="-8"/>
          <w:sz w:val="32"/>
          <w:szCs w:val="32"/>
          <w:highlight w:val="none"/>
          <w:lang w:eastAsia="zh-CN"/>
        </w:rPr>
        <w:t>民生工程，</w:t>
      </w:r>
      <w:r>
        <w:rPr>
          <w:rFonts w:hint="eastAsia" w:ascii="仿宋" w:hAnsi="仿宋" w:eastAsia="仿宋" w:cs="仿宋"/>
          <w:spacing w:val="-8"/>
          <w:sz w:val="32"/>
          <w:szCs w:val="32"/>
          <w:highlight w:val="none"/>
          <w:lang w:val="en-US" w:eastAsia="zh-CN"/>
        </w:rPr>
        <w:t>系</w:t>
      </w:r>
      <w:r>
        <w:rPr>
          <w:rFonts w:hint="eastAsia" w:ascii="仿宋" w:hAnsi="仿宋" w:eastAsia="仿宋" w:cs="仿宋"/>
          <w:spacing w:val="-8"/>
          <w:sz w:val="32"/>
          <w:szCs w:val="32"/>
          <w:highlight w:val="none"/>
          <w:lang w:eastAsia="zh-CN"/>
        </w:rPr>
        <w:t>中央环保督察</w:t>
      </w:r>
      <w:r>
        <w:rPr>
          <w:rFonts w:hint="eastAsia" w:ascii="仿宋" w:hAnsi="仿宋" w:eastAsia="仿宋" w:cs="仿宋"/>
          <w:spacing w:val="-8"/>
          <w:sz w:val="32"/>
          <w:szCs w:val="32"/>
          <w:highlight w:val="none"/>
          <w:lang w:val="en-US" w:eastAsia="zh-CN"/>
        </w:rPr>
        <w:t>组督</w:t>
      </w:r>
      <w:r>
        <w:rPr>
          <w:rFonts w:hint="eastAsia" w:ascii="仿宋" w:hAnsi="仿宋" w:eastAsia="仿宋" w:cs="仿宋"/>
          <w:spacing w:val="-8"/>
          <w:sz w:val="32"/>
          <w:szCs w:val="32"/>
          <w:highlight w:val="none"/>
          <w:lang w:eastAsia="zh-CN"/>
        </w:rPr>
        <w:t>办项目，</w:t>
      </w:r>
      <w:r>
        <w:rPr>
          <w:rFonts w:hint="eastAsia" w:ascii="仿宋" w:hAnsi="仿宋" w:eastAsia="仿宋" w:cs="仿宋"/>
          <w:spacing w:val="-8"/>
          <w:sz w:val="32"/>
          <w:szCs w:val="32"/>
          <w:highlight w:val="none"/>
          <w:lang w:val="en-US" w:eastAsia="zh-CN"/>
        </w:rPr>
        <w:t>意在通过项目实施</w:t>
      </w:r>
      <w:r>
        <w:rPr>
          <w:rFonts w:hint="eastAsia" w:ascii="仿宋" w:hAnsi="仿宋" w:eastAsia="仿宋" w:cs="仿宋"/>
          <w:spacing w:val="-8"/>
          <w:sz w:val="32"/>
          <w:szCs w:val="32"/>
          <w:highlight w:val="none"/>
          <w:lang w:eastAsia="zh-CN"/>
        </w:rPr>
        <w:t>解决北塔区杨家垅区域内邵阳监狱、监管中心等单位的生活污水排放问题，改善周边人居环境，</w:t>
      </w:r>
      <w:r>
        <w:rPr>
          <w:rFonts w:hint="eastAsia" w:ascii="仿宋" w:hAnsi="仿宋" w:eastAsia="仿宋" w:cs="仿宋"/>
          <w:spacing w:val="-8"/>
          <w:sz w:val="32"/>
          <w:szCs w:val="32"/>
          <w:highlight w:val="none"/>
          <w:lang w:val="en-US" w:eastAsia="zh-CN"/>
        </w:rPr>
        <w:t>确保资江</w:t>
      </w:r>
      <w:r>
        <w:rPr>
          <w:rFonts w:hint="eastAsia" w:ascii="仿宋" w:hAnsi="仿宋" w:eastAsia="仿宋" w:cs="仿宋"/>
          <w:spacing w:val="-8"/>
          <w:sz w:val="32"/>
          <w:szCs w:val="32"/>
          <w:highlight w:val="none"/>
          <w:lang w:eastAsia="zh-CN"/>
        </w:rPr>
        <w:t>水质安全。</w:t>
      </w:r>
      <w:r>
        <w:rPr>
          <w:rFonts w:hint="eastAsia" w:ascii="仿宋" w:hAnsi="仿宋" w:eastAsia="仿宋" w:cs="仿宋"/>
          <w:sz w:val="32"/>
          <w:szCs w:val="32"/>
          <w:highlight w:val="none"/>
          <w:lang w:val="en-US" w:eastAsia="zh-CN"/>
        </w:rPr>
        <w:t>2018年1月18日，邵阳市人民政府召开第38次常务会议，原则同意该项目实施。</w:t>
      </w:r>
    </w:p>
    <w:p>
      <w:pPr>
        <w:pStyle w:val="12"/>
        <w:keepNext w:val="0"/>
        <w:keepLines w:val="0"/>
        <w:pageBreakBefore w:val="0"/>
        <w:widowControl w:val="0"/>
        <w:shd w:val="clear"/>
        <w:kinsoku/>
        <w:wordWrap/>
        <w:overflowPunct/>
        <w:topLinePunct w:val="0"/>
        <w:autoSpaceDE/>
        <w:autoSpaceDN/>
        <w:bidi w:val="0"/>
        <w:adjustRightInd/>
        <w:snapToGrid/>
        <w:spacing w:beforeLines="0" w:afterLines="0" w:line="360" w:lineRule="auto"/>
        <w:ind w:firstLine="643" w:firstLineChars="200"/>
        <w:textAlignment w:val="auto"/>
        <w:rPr>
          <w:rFonts w:hint="eastAsia" w:ascii="仿宋" w:hAnsi="仿宋" w:eastAsia="仿宋" w:cs="仿宋"/>
          <w:b/>
          <w:bCs/>
          <w:kern w:val="2"/>
          <w:sz w:val="32"/>
          <w:szCs w:val="32"/>
          <w:highlight w:val="none"/>
          <w:lang w:val="en-US" w:eastAsia="zh-CN" w:bidi="ar-SA"/>
        </w:rPr>
      </w:pPr>
      <w:r>
        <w:rPr>
          <w:rFonts w:hint="eastAsia" w:ascii="仿宋" w:hAnsi="仿宋" w:eastAsia="仿宋" w:cs="仿宋"/>
          <w:b/>
          <w:bCs/>
          <w:kern w:val="2"/>
          <w:sz w:val="32"/>
          <w:szCs w:val="32"/>
          <w:highlight w:val="none"/>
          <w:lang w:val="en-US" w:eastAsia="zh-CN" w:bidi="ar-SA"/>
        </w:rPr>
        <w:t>2.项目单位概况</w:t>
      </w:r>
    </w:p>
    <w:p>
      <w:pPr>
        <w:pStyle w:val="12"/>
        <w:keepNext w:val="0"/>
        <w:keepLines w:val="0"/>
        <w:pageBreakBefore w:val="0"/>
        <w:widowControl w:val="0"/>
        <w:shd w:val="clear"/>
        <w:kinsoku/>
        <w:wordWrap/>
        <w:overflowPunct/>
        <w:topLinePunct w:val="0"/>
        <w:autoSpaceDE/>
        <w:autoSpaceDN/>
        <w:bidi w:val="0"/>
        <w:adjustRightInd/>
        <w:snapToGrid/>
        <w:spacing w:beforeLines="0" w:afterLines="0" w:line="360" w:lineRule="auto"/>
        <w:ind w:left="0" w:leftChars="0" w:firstLine="640" w:firstLineChars="200"/>
        <w:textAlignment w:val="auto"/>
        <w:rPr>
          <w:rFonts w:hint="eastAsia" w:ascii="仿宋" w:hAnsi="仿宋" w:eastAsia="仿宋" w:cs="仿宋"/>
          <w:kern w:val="2"/>
          <w:sz w:val="32"/>
          <w:szCs w:val="32"/>
          <w:highlight w:val="none"/>
          <w:lang w:val="en-US" w:eastAsia="zh-CN" w:bidi="ar-SA"/>
        </w:rPr>
      </w:pPr>
      <w:r>
        <w:rPr>
          <w:rFonts w:hint="eastAsia" w:ascii="仿宋" w:hAnsi="仿宋" w:eastAsia="仿宋" w:cs="仿宋"/>
          <w:kern w:val="2"/>
          <w:sz w:val="32"/>
          <w:szCs w:val="32"/>
          <w:highlight w:val="none"/>
          <w:lang w:val="en-US" w:eastAsia="zh-CN" w:bidi="ar-SA"/>
        </w:rPr>
        <w:t>该项目的主管单位是邵阳市城市管理和综合执法局，项目实施单位是邵阳市公用事业基础设施建设有限公司（以下简称“市公用事业基础设施建设公司”）。</w:t>
      </w:r>
      <w:r>
        <w:rPr>
          <w:rFonts w:hint="eastAsia" w:ascii="仿宋" w:hAnsi="仿宋" w:eastAsia="仿宋" w:cs="仿宋"/>
          <w:sz w:val="32"/>
          <w:szCs w:val="32"/>
          <w:highlight w:val="none"/>
          <w:lang w:val="en-US" w:eastAsia="zh-CN"/>
        </w:rPr>
        <w:t>邵阳市</w:t>
      </w:r>
      <w:r>
        <w:rPr>
          <w:rFonts w:hint="eastAsia" w:ascii="仿宋" w:hAnsi="仿宋" w:eastAsia="仿宋" w:cs="仿宋"/>
          <w:kern w:val="2"/>
          <w:sz w:val="32"/>
          <w:szCs w:val="32"/>
          <w:highlight w:val="none"/>
          <w:lang w:val="en-US" w:eastAsia="zh-CN" w:bidi="ar-SA"/>
        </w:rPr>
        <w:t>公用事业基础设施建设公司成立于</w:t>
      </w:r>
      <w:r>
        <w:rPr>
          <w:rFonts w:hint="eastAsia" w:ascii="仿宋_GB2312" w:hAnsi="仿宋" w:eastAsia="仿宋_GB2312" w:cs="仿宋"/>
          <w:sz w:val="32"/>
          <w:szCs w:val="32"/>
          <w:highlight w:val="none"/>
          <w:lang w:val="en-US" w:eastAsia="zh-CN"/>
        </w:rPr>
        <w:t>2004年04月01日</w:t>
      </w:r>
      <w:r>
        <w:rPr>
          <w:rFonts w:hint="eastAsia" w:ascii="仿宋" w:hAnsi="仿宋" w:eastAsia="仿宋" w:cs="仿宋"/>
          <w:kern w:val="2"/>
          <w:sz w:val="32"/>
          <w:szCs w:val="32"/>
          <w:highlight w:val="none"/>
          <w:lang w:val="en-US" w:eastAsia="zh-CN" w:bidi="ar-SA"/>
        </w:rPr>
        <w:t>，系国有控股有限责任公司，注册资本5000万元。</w:t>
      </w:r>
    </w:p>
    <w:p>
      <w:pPr>
        <w:pStyle w:val="12"/>
        <w:keepNext w:val="0"/>
        <w:keepLines w:val="0"/>
        <w:pageBreakBefore w:val="0"/>
        <w:widowControl w:val="0"/>
        <w:shd w:val="clear"/>
        <w:kinsoku/>
        <w:wordWrap/>
        <w:overflowPunct/>
        <w:topLinePunct w:val="0"/>
        <w:autoSpaceDE/>
        <w:autoSpaceDN/>
        <w:bidi w:val="0"/>
        <w:adjustRightInd/>
        <w:snapToGrid/>
        <w:spacing w:beforeLines="0" w:afterLines="0" w:line="360" w:lineRule="auto"/>
        <w:ind w:firstLine="643" w:firstLineChars="200"/>
        <w:textAlignment w:val="auto"/>
        <w:rPr>
          <w:rFonts w:hint="eastAsia" w:ascii="仿宋" w:hAnsi="仿宋" w:eastAsia="仿宋" w:cs="仿宋"/>
          <w:b/>
          <w:bCs/>
          <w:kern w:val="2"/>
          <w:sz w:val="32"/>
          <w:szCs w:val="32"/>
          <w:highlight w:val="none"/>
          <w:lang w:val="en-US" w:eastAsia="zh-CN" w:bidi="ar-SA"/>
        </w:rPr>
      </w:pPr>
      <w:r>
        <w:rPr>
          <w:rFonts w:hint="eastAsia" w:ascii="仿宋" w:hAnsi="仿宋" w:eastAsia="仿宋" w:cs="仿宋"/>
          <w:b/>
          <w:bCs/>
          <w:kern w:val="2"/>
          <w:sz w:val="32"/>
          <w:szCs w:val="32"/>
          <w:highlight w:val="none"/>
          <w:lang w:val="en-US" w:eastAsia="zh-CN" w:bidi="ar-SA"/>
        </w:rPr>
        <w:t>3.项目主要建设内容</w:t>
      </w:r>
    </w:p>
    <w:p>
      <w:pPr>
        <w:pStyle w:val="12"/>
        <w:keepNext w:val="0"/>
        <w:keepLines w:val="0"/>
        <w:pageBreakBefore w:val="0"/>
        <w:widowControl w:val="0"/>
        <w:shd w:val="clear"/>
        <w:kinsoku/>
        <w:wordWrap/>
        <w:overflowPunct/>
        <w:topLinePunct w:val="0"/>
        <w:autoSpaceDE/>
        <w:autoSpaceDN/>
        <w:bidi w:val="0"/>
        <w:adjustRightInd/>
        <w:snapToGrid/>
        <w:spacing w:beforeLines="0" w:afterLines="0" w:line="360" w:lineRule="auto"/>
        <w:ind w:left="0" w:leftChars="0" w:firstLine="643" w:firstLineChars="200"/>
        <w:textAlignment w:val="auto"/>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（1）建设地点：</w:t>
      </w:r>
      <w:r>
        <w:rPr>
          <w:rFonts w:hint="eastAsia" w:ascii="仿宋" w:hAnsi="仿宋" w:eastAsia="仿宋" w:cs="仿宋"/>
          <w:b w:val="0"/>
          <w:bCs w:val="0"/>
          <w:sz w:val="32"/>
          <w:szCs w:val="32"/>
          <w:highlight w:val="none"/>
          <w:lang w:val="en-US" w:eastAsia="zh-CN"/>
        </w:rPr>
        <w:t>邵阳市北塔区茶元头乡；</w:t>
      </w:r>
    </w:p>
    <w:p>
      <w:pPr>
        <w:pStyle w:val="12"/>
        <w:keepNext w:val="0"/>
        <w:keepLines w:val="0"/>
        <w:pageBreakBefore w:val="0"/>
        <w:widowControl w:val="0"/>
        <w:shd w:val="clear"/>
        <w:kinsoku/>
        <w:wordWrap/>
        <w:overflowPunct/>
        <w:topLinePunct w:val="0"/>
        <w:autoSpaceDE/>
        <w:autoSpaceDN/>
        <w:bidi w:val="0"/>
        <w:adjustRightInd/>
        <w:snapToGrid/>
        <w:spacing w:beforeLines="0" w:afterLines="0" w:line="360" w:lineRule="auto"/>
        <w:ind w:left="0" w:leftChars="0" w:firstLine="643" w:firstLineChars="200"/>
        <w:textAlignment w:val="auto"/>
        <w:rPr>
          <w:rFonts w:hint="eastAsia" w:ascii="仿宋" w:hAnsi="仿宋" w:eastAsia="仿宋" w:cs="仿宋"/>
          <w:b w:val="0"/>
          <w:bCs w:val="0"/>
          <w:sz w:val="32"/>
          <w:szCs w:val="32"/>
          <w:highlight w:val="none"/>
          <w:lang w:val="en-US" w:eastAsia="zh-CN"/>
        </w:rPr>
      </w:pPr>
      <w:r>
        <w:rPr>
          <w:rFonts w:hint="eastAsia" w:ascii="仿宋" w:hAnsi="仿宋" w:eastAsia="仿宋" w:cs="仿宋"/>
          <w:b/>
          <w:bCs/>
          <w:sz w:val="32"/>
          <w:szCs w:val="32"/>
          <w:highlight w:val="none"/>
          <w:lang w:val="en-US" w:eastAsia="zh-CN"/>
        </w:rPr>
        <w:t>（2）建设内容与规模：</w:t>
      </w:r>
      <w:r>
        <w:rPr>
          <w:rFonts w:hint="eastAsia" w:ascii="仿宋" w:hAnsi="仿宋" w:eastAsia="仿宋" w:cs="仿宋"/>
          <w:b w:val="0"/>
          <w:bCs w:val="0"/>
          <w:sz w:val="32"/>
          <w:szCs w:val="32"/>
          <w:highlight w:val="none"/>
          <w:lang w:val="en-US" w:eastAsia="zh-CN"/>
        </w:rPr>
        <w:t>新建污水提升泵站一座（规模6000立方米）；新建0.89公里污水压力管道（320国道-宝庆西路）；新建1.8公里污水重力管（邵阳监狱西侧及乡政府及卫生院周边）；新建1.1公里污水重力管（邵阳监狱西侧向西至木材市场）；新建箱涵0.3公里；</w:t>
      </w:r>
    </w:p>
    <w:p>
      <w:pPr>
        <w:pStyle w:val="12"/>
        <w:keepNext w:val="0"/>
        <w:keepLines w:val="0"/>
        <w:pageBreakBefore w:val="0"/>
        <w:widowControl w:val="0"/>
        <w:shd w:val="clear"/>
        <w:kinsoku/>
        <w:wordWrap/>
        <w:overflowPunct/>
        <w:topLinePunct w:val="0"/>
        <w:autoSpaceDE/>
        <w:autoSpaceDN/>
        <w:bidi w:val="0"/>
        <w:adjustRightInd/>
        <w:snapToGrid/>
        <w:spacing w:beforeLines="0" w:afterLines="0" w:line="360" w:lineRule="auto"/>
        <w:ind w:left="0" w:leftChars="0" w:firstLine="643" w:firstLineChars="200"/>
        <w:textAlignment w:val="auto"/>
        <w:rPr>
          <w:rFonts w:hint="eastAsia" w:ascii="仿宋" w:hAnsi="仿宋" w:eastAsia="仿宋" w:cs="仿宋"/>
          <w:kern w:val="2"/>
          <w:sz w:val="32"/>
          <w:szCs w:val="32"/>
          <w:highlight w:val="none"/>
          <w:lang w:val="en-US" w:eastAsia="zh-CN" w:bidi="ar-SA"/>
        </w:rPr>
      </w:pPr>
      <w:r>
        <w:rPr>
          <w:rFonts w:hint="eastAsia" w:ascii="仿宋" w:hAnsi="仿宋" w:eastAsia="仿宋" w:cs="仿宋"/>
          <w:b/>
          <w:bCs/>
          <w:sz w:val="32"/>
          <w:szCs w:val="32"/>
          <w:highlight w:val="none"/>
          <w:lang w:val="en-US" w:eastAsia="zh-CN"/>
        </w:rPr>
        <w:t>（3）投资总额及资金来源：</w:t>
      </w:r>
      <w:r>
        <w:rPr>
          <w:rFonts w:hint="eastAsia" w:ascii="仿宋" w:hAnsi="仿宋" w:eastAsia="仿宋" w:cs="仿宋"/>
          <w:kern w:val="2"/>
          <w:sz w:val="32"/>
          <w:szCs w:val="32"/>
          <w:highlight w:val="none"/>
          <w:lang w:val="en-US" w:eastAsia="zh-CN" w:bidi="ar-SA"/>
        </w:rPr>
        <w:t>项目估算总投资2784.43万元，其中：申请发行政府专项债券1414万元，不足部分地方财政解决。</w:t>
      </w:r>
    </w:p>
    <w:p>
      <w:pPr>
        <w:pStyle w:val="12"/>
        <w:keepNext w:val="0"/>
        <w:keepLines w:val="0"/>
        <w:pageBreakBefore w:val="0"/>
        <w:widowControl w:val="0"/>
        <w:shd w:val="clear"/>
        <w:kinsoku/>
        <w:wordWrap/>
        <w:overflowPunct/>
        <w:topLinePunct w:val="0"/>
        <w:autoSpaceDE/>
        <w:autoSpaceDN/>
        <w:bidi w:val="0"/>
        <w:adjustRightInd/>
        <w:snapToGrid/>
        <w:spacing w:beforeLines="0" w:afterLines="0" w:line="360" w:lineRule="auto"/>
        <w:ind w:left="0" w:leftChars="0" w:firstLine="643" w:firstLineChars="200"/>
        <w:textAlignment w:val="auto"/>
        <w:rPr>
          <w:rFonts w:hint="eastAsia" w:ascii="仿宋" w:hAnsi="仿宋" w:eastAsia="仿宋" w:cs="仿宋"/>
          <w:kern w:val="2"/>
          <w:sz w:val="32"/>
          <w:szCs w:val="32"/>
          <w:highlight w:val="none"/>
          <w:lang w:val="en-US" w:eastAsia="zh-CN" w:bidi="ar-SA"/>
        </w:rPr>
      </w:pPr>
      <w:r>
        <w:rPr>
          <w:rFonts w:hint="eastAsia" w:ascii="仿宋" w:hAnsi="仿宋" w:eastAsia="仿宋" w:cs="仿宋"/>
          <w:b/>
          <w:bCs/>
          <w:sz w:val="32"/>
          <w:szCs w:val="32"/>
          <w:highlight w:val="none"/>
          <w:lang w:val="en-US" w:eastAsia="zh-CN"/>
        </w:rPr>
        <w:t>（4）项目建设期：</w:t>
      </w:r>
      <w:r>
        <w:rPr>
          <w:rFonts w:hint="eastAsia" w:ascii="仿宋" w:hAnsi="仿宋" w:eastAsia="仿宋" w:cs="仿宋"/>
          <w:b w:val="0"/>
          <w:bCs w:val="0"/>
          <w:sz w:val="32"/>
          <w:szCs w:val="32"/>
          <w:highlight w:val="none"/>
          <w:lang w:val="en-US" w:eastAsia="zh-CN"/>
        </w:rPr>
        <w:t>项目</w:t>
      </w:r>
      <w:r>
        <w:rPr>
          <w:rFonts w:hint="eastAsia" w:ascii="仿宋" w:hAnsi="仿宋" w:eastAsia="仿宋" w:cs="仿宋"/>
          <w:kern w:val="2"/>
          <w:sz w:val="32"/>
          <w:szCs w:val="32"/>
          <w:highlight w:val="none"/>
          <w:lang w:val="en-US" w:eastAsia="zh-CN" w:bidi="ar-SA"/>
        </w:rPr>
        <w:t>建设期为80天，计划2018年11月26日开工，2019年2月15日前完工；实际2020年3月底项目才完工，2020年4月28日进行验收。</w:t>
      </w:r>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firstLine="643" w:firstLineChars="200"/>
        <w:textAlignment w:val="auto"/>
        <w:outlineLvl w:val="1"/>
        <w:rPr>
          <w:rFonts w:hint="eastAsia" w:ascii="楷体" w:hAnsi="楷体" w:eastAsia="楷体" w:cs="楷体"/>
          <w:b/>
          <w:bCs/>
          <w:sz w:val="32"/>
          <w:szCs w:val="32"/>
          <w:highlight w:val="none"/>
          <w:lang w:val="en-US" w:eastAsia="zh-CN"/>
        </w:rPr>
      </w:pPr>
      <w:bookmarkStart w:id="3" w:name="_Toc8475"/>
      <w:r>
        <w:rPr>
          <w:rFonts w:hint="eastAsia" w:ascii="楷体" w:hAnsi="楷体" w:eastAsia="楷体" w:cs="楷体"/>
          <w:b/>
          <w:bCs/>
          <w:sz w:val="32"/>
          <w:szCs w:val="32"/>
          <w:highlight w:val="none"/>
          <w:lang w:val="en-US" w:eastAsia="zh-CN"/>
        </w:rPr>
        <w:t>（二）资金与项目管理情况</w:t>
      </w:r>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firstLine="643" w:firstLineChars="200"/>
        <w:textAlignment w:val="auto"/>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1.政府专项债券概况</w:t>
      </w:r>
    </w:p>
    <w:p>
      <w:pPr>
        <w:pStyle w:val="12"/>
        <w:keepNext w:val="0"/>
        <w:keepLines w:val="0"/>
        <w:pageBreakBefore w:val="0"/>
        <w:widowControl w:val="0"/>
        <w:shd w:val="clear"/>
        <w:kinsoku/>
        <w:wordWrap/>
        <w:overflowPunct/>
        <w:topLinePunct w:val="0"/>
        <w:autoSpaceDE/>
        <w:autoSpaceDN/>
        <w:bidi w:val="0"/>
        <w:adjustRightInd/>
        <w:snapToGrid/>
        <w:spacing w:beforeLines="0" w:afterLines="0" w:line="360" w:lineRule="auto"/>
        <w:ind w:left="0" w:leftChars="0"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邵阳市北塔区</w:t>
      </w:r>
      <w:r>
        <w:rPr>
          <w:rFonts w:hint="eastAsia" w:ascii="仿宋" w:hAnsi="仿宋" w:eastAsia="仿宋" w:cs="仿宋"/>
          <w:kern w:val="2"/>
          <w:sz w:val="32"/>
          <w:szCs w:val="32"/>
          <w:highlight w:val="none"/>
          <w:lang w:val="en-US" w:eastAsia="zh-CN" w:bidi="ar-SA"/>
        </w:rPr>
        <w:t>茶元头乡污水截流工程项目申请的政府专项债券</w:t>
      </w:r>
      <w:r>
        <w:rPr>
          <w:rFonts w:hint="eastAsia" w:ascii="仿宋" w:hAnsi="仿宋" w:eastAsia="仿宋" w:cs="仿宋"/>
          <w:sz w:val="32"/>
          <w:szCs w:val="32"/>
          <w:highlight w:val="none"/>
          <w:lang w:val="en-US" w:eastAsia="zh-CN"/>
        </w:rPr>
        <w:t>1414万元，是通过《2019年湖南省“两供两治”（供水供气、污水和生活垃圾治理）专项债券（二期）—2019年湖南省政府专项债券（十九期）》募集的资金，债券还本付息工作由邵阳市财政统筹安排，融资利率4.37%，每年付息一次61.79万元，</w:t>
      </w:r>
      <w:r>
        <w:rPr>
          <w:rFonts w:hint="eastAsia" w:ascii="仿宋" w:hAnsi="仿宋" w:eastAsia="仿宋" w:cs="仿宋"/>
          <w:kern w:val="2"/>
          <w:sz w:val="32"/>
          <w:szCs w:val="32"/>
          <w:highlight w:val="none"/>
          <w:lang w:val="en-US" w:eastAsia="zh-CN" w:bidi="ar-SA"/>
        </w:rPr>
        <w:t>2034年</w:t>
      </w:r>
      <w:r>
        <w:rPr>
          <w:rFonts w:hint="eastAsia" w:ascii="仿宋" w:hAnsi="仿宋" w:eastAsia="仿宋" w:cs="仿宋"/>
          <w:sz w:val="32"/>
          <w:szCs w:val="32"/>
          <w:highlight w:val="none"/>
          <w:lang w:val="en-US" w:eastAsia="zh-CN"/>
        </w:rPr>
        <w:t>到期还本。</w:t>
      </w:r>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firstLine="643" w:firstLineChars="200"/>
        <w:textAlignment w:val="auto"/>
        <w:rPr>
          <w:rFonts w:hint="eastAsia" w:ascii="仿宋" w:hAnsi="仿宋" w:eastAsia="仿宋" w:cs="仿宋"/>
          <w:b/>
          <w:bCs/>
          <w:sz w:val="32"/>
          <w:szCs w:val="32"/>
          <w:highlight w:val="none"/>
          <w:lang w:val="en-US" w:eastAsia="zh-CN"/>
        </w:rPr>
      </w:pPr>
      <w:bookmarkStart w:id="4" w:name="_Toc31235"/>
      <w:r>
        <w:rPr>
          <w:rFonts w:hint="eastAsia" w:ascii="仿宋" w:hAnsi="仿宋" w:eastAsia="仿宋" w:cs="仿宋"/>
          <w:b/>
          <w:bCs/>
          <w:sz w:val="32"/>
          <w:szCs w:val="32"/>
          <w:highlight w:val="none"/>
          <w:lang w:val="en-US" w:eastAsia="zh-CN"/>
        </w:rPr>
        <w:t>2.项目立项程序和“一案两书”编制情况</w:t>
      </w:r>
      <w:bookmarkEnd w:id="4"/>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firstLine="643"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b/>
          <w:bCs/>
          <w:sz w:val="32"/>
          <w:szCs w:val="32"/>
          <w:highlight w:val="none"/>
          <w:lang w:val="en-US" w:eastAsia="zh-CN"/>
        </w:rPr>
        <w:t>（1）环评。</w:t>
      </w:r>
      <w:r>
        <w:rPr>
          <w:rFonts w:hint="eastAsia" w:ascii="仿宋" w:hAnsi="仿宋" w:eastAsia="仿宋" w:cs="仿宋"/>
          <w:b w:val="0"/>
          <w:bCs w:val="0"/>
          <w:sz w:val="32"/>
          <w:szCs w:val="32"/>
          <w:highlight w:val="none"/>
          <w:lang w:val="en-US" w:eastAsia="zh-CN"/>
        </w:rPr>
        <w:t>2018年5月12日，由湖南美景环保科技咨询服务有限公司对该项目进行环境影响评价；</w:t>
      </w:r>
      <w:r>
        <w:rPr>
          <w:rFonts w:hint="eastAsia" w:ascii="仿宋_GB2312" w:hAnsi="仿宋" w:eastAsia="仿宋_GB2312" w:cs="仿宋"/>
          <w:sz w:val="32"/>
          <w:szCs w:val="32"/>
          <w:lang w:val="en-US" w:eastAsia="zh-CN"/>
        </w:rPr>
        <w:t>2018年6月22日，</w:t>
      </w:r>
      <w:r>
        <w:rPr>
          <w:rFonts w:hint="eastAsia" w:ascii="仿宋_GB2312" w:hAnsi="仿宋" w:eastAsia="仿宋_GB2312" w:cs="仿宋"/>
          <w:sz w:val="32"/>
          <w:szCs w:val="32"/>
          <w:lang w:eastAsia="zh-CN"/>
        </w:rPr>
        <w:t>邵阳市环保局北塔分局主持召开《邵阳市</w:t>
      </w:r>
      <w:r>
        <w:rPr>
          <w:rFonts w:hint="eastAsia" w:ascii="仿宋" w:hAnsi="仿宋" w:eastAsia="仿宋" w:cs="仿宋"/>
          <w:kern w:val="2"/>
          <w:sz w:val="32"/>
          <w:szCs w:val="32"/>
          <w:highlight w:val="none"/>
          <w:lang w:val="en-US" w:eastAsia="zh-CN" w:bidi="ar-SA"/>
        </w:rPr>
        <w:t>茶元头乡污水截流工程环境影响报告</w:t>
      </w:r>
      <w:r>
        <w:rPr>
          <w:rFonts w:hint="eastAsia" w:ascii="仿宋_GB2312" w:hAnsi="仿宋" w:eastAsia="仿宋_GB2312" w:cs="仿宋"/>
          <w:sz w:val="32"/>
          <w:szCs w:val="32"/>
          <w:lang w:eastAsia="zh-CN"/>
        </w:rPr>
        <w:t>》技术评审会进行批复审核</w:t>
      </w:r>
      <w:r>
        <w:rPr>
          <w:rFonts w:hint="eastAsia" w:ascii="仿宋" w:hAnsi="仿宋" w:eastAsia="仿宋" w:cs="仿宋"/>
          <w:sz w:val="32"/>
          <w:szCs w:val="32"/>
          <w:highlight w:val="none"/>
          <w:lang w:val="en-US" w:eastAsia="zh-CN"/>
        </w:rPr>
        <w:t>。</w:t>
      </w:r>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firstLine="643"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b/>
          <w:bCs/>
          <w:sz w:val="32"/>
          <w:szCs w:val="32"/>
          <w:highlight w:val="none"/>
          <w:lang w:val="en-US" w:eastAsia="zh-CN"/>
        </w:rPr>
        <w:t>（2）可行性研究。</w:t>
      </w:r>
      <w:r>
        <w:rPr>
          <w:rFonts w:hint="eastAsia" w:ascii="仿宋" w:hAnsi="仿宋" w:eastAsia="仿宋" w:cs="仿宋"/>
          <w:b w:val="0"/>
          <w:bCs w:val="0"/>
          <w:sz w:val="32"/>
          <w:szCs w:val="32"/>
          <w:highlight w:val="none"/>
          <w:lang w:val="en-US" w:eastAsia="zh-CN"/>
        </w:rPr>
        <w:t>2018</w:t>
      </w:r>
      <w:r>
        <w:rPr>
          <w:rFonts w:hint="eastAsia" w:ascii="仿宋" w:hAnsi="仿宋" w:eastAsia="仿宋" w:cs="仿宋"/>
          <w:kern w:val="2"/>
          <w:sz w:val="32"/>
          <w:szCs w:val="32"/>
          <w:highlight w:val="none"/>
          <w:lang w:val="en-US" w:eastAsia="zh-CN" w:bidi="ar-SA"/>
        </w:rPr>
        <w:t>年5月</w:t>
      </w:r>
      <w:r>
        <w:rPr>
          <w:rFonts w:hint="eastAsia" w:ascii="仿宋" w:hAnsi="仿宋" w:eastAsia="仿宋" w:cs="仿宋"/>
          <w:sz w:val="32"/>
          <w:szCs w:val="32"/>
          <w:highlight w:val="none"/>
          <w:lang w:val="en-US" w:eastAsia="zh-CN"/>
        </w:rPr>
        <w:t>，邵阳市城市规划设计研究院出具可研报告，项目计划总投资2784.43万元。</w:t>
      </w:r>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firstLine="643" w:firstLineChars="200"/>
        <w:textAlignment w:val="auto"/>
        <w:rPr>
          <w:rFonts w:hint="default" w:ascii="仿宋" w:hAnsi="仿宋" w:eastAsia="仿宋" w:cs="仿宋"/>
          <w:sz w:val="32"/>
          <w:szCs w:val="32"/>
          <w:highlight w:val="none"/>
          <w:lang w:val="en-US" w:eastAsia="zh-CN"/>
        </w:rPr>
      </w:pPr>
      <w:r>
        <w:rPr>
          <w:rFonts w:hint="eastAsia" w:ascii="仿宋" w:hAnsi="仿宋" w:eastAsia="仿宋" w:cs="仿宋"/>
          <w:b/>
          <w:bCs/>
          <w:sz w:val="32"/>
          <w:szCs w:val="32"/>
          <w:highlight w:val="none"/>
          <w:lang w:val="en-US" w:eastAsia="zh-CN"/>
        </w:rPr>
        <w:t>（3）批复立项。</w:t>
      </w:r>
      <w:r>
        <w:rPr>
          <w:rFonts w:hint="eastAsia" w:ascii="仿宋" w:hAnsi="仿宋" w:eastAsia="仿宋" w:cs="仿宋"/>
          <w:sz w:val="32"/>
          <w:szCs w:val="32"/>
          <w:highlight w:val="none"/>
          <w:lang w:val="en-US" w:eastAsia="zh-CN"/>
        </w:rPr>
        <w:t>2018年1月18日，邵阳市人民政府第38次常务会议，同意项目按《茶元头乡（邵阳监狱、公安四所等）区域生活污水截污工程方案》实施；</w:t>
      </w:r>
      <w:r>
        <w:rPr>
          <w:rFonts w:hint="eastAsia" w:ascii="仿宋_GB2312" w:hAnsi="仿宋" w:eastAsia="仿宋_GB2312" w:cs="仿宋"/>
          <w:sz w:val="32"/>
          <w:szCs w:val="32"/>
          <w:lang w:val="en-US" w:eastAsia="zh-CN"/>
        </w:rPr>
        <w:t>2018年6月5日</w:t>
      </w:r>
      <w:r>
        <w:rPr>
          <w:rFonts w:hint="eastAsia" w:ascii="仿宋_GB2312" w:hAnsi="仿宋" w:eastAsia="仿宋_GB2312" w:cs="仿宋"/>
          <w:sz w:val="32"/>
          <w:szCs w:val="32"/>
          <w:lang w:eastAsia="zh-CN"/>
        </w:rPr>
        <w:t>邵阳市发改委批复（邵市发改环资〔2018〕222号）同意本项目立项。</w:t>
      </w:r>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firstLine="643"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b/>
          <w:bCs/>
          <w:sz w:val="32"/>
          <w:szCs w:val="32"/>
          <w:highlight w:val="none"/>
          <w:lang w:val="en-US" w:eastAsia="zh-CN"/>
        </w:rPr>
        <w:t>（4）行政许可。</w:t>
      </w:r>
      <w:r>
        <w:rPr>
          <w:rFonts w:hint="eastAsia" w:ascii="仿宋" w:hAnsi="仿宋" w:eastAsia="仿宋" w:cs="仿宋"/>
          <w:sz w:val="32"/>
          <w:szCs w:val="32"/>
          <w:highlight w:val="none"/>
          <w:lang w:val="en-US" w:eastAsia="zh-CN"/>
        </w:rPr>
        <w:t>2018年5月7日，取得项目建设用地规划许可证（建规[地]字第2018-第2018-28号）。</w:t>
      </w:r>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firstLine="643"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b/>
          <w:bCs/>
          <w:sz w:val="32"/>
          <w:szCs w:val="32"/>
          <w:highlight w:val="none"/>
          <w:lang w:val="en-US" w:eastAsia="zh-CN"/>
        </w:rPr>
        <w:t>（5）专项债券“一案两书”编制。</w:t>
      </w:r>
      <w:r>
        <w:rPr>
          <w:rFonts w:hint="eastAsia" w:ascii="仿宋" w:hAnsi="仿宋" w:eastAsia="仿宋" w:cs="仿宋"/>
          <w:b w:val="0"/>
          <w:bCs w:val="0"/>
          <w:sz w:val="32"/>
          <w:szCs w:val="32"/>
          <w:highlight w:val="none"/>
          <w:lang w:val="en-US" w:eastAsia="zh-CN"/>
        </w:rPr>
        <w:t>2019</w:t>
      </w:r>
      <w:r>
        <w:rPr>
          <w:rFonts w:hint="eastAsia" w:ascii="仿宋" w:hAnsi="仿宋" w:eastAsia="仿宋" w:cs="仿宋"/>
          <w:sz w:val="32"/>
          <w:szCs w:val="32"/>
          <w:highlight w:val="none"/>
          <w:lang w:val="en-US" w:eastAsia="zh-CN"/>
        </w:rPr>
        <w:t>年9月16日湖南天平正大有限责任会计师事务所出具《关于湖南省邵阳市2019年“两供两治”专项债券项目收益与融资自求平衡专项审核报告》；截止绩效评价报告日，</w:t>
      </w:r>
      <w:r>
        <w:rPr>
          <w:rFonts w:hint="eastAsia" w:ascii="仿宋" w:hAnsi="仿宋" w:eastAsia="仿宋" w:cs="仿宋"/>
          <w:b w:val="0"/>
          <w:bCs w:val="0"/>
          <w:sz w:val="32"/>
          <w:szCs w:val="32"/>
          <w:highlight w:val="none"/>
          <w:lang w:val="en-US" w:eastAsia="zh-CN"/>
        </w:rPr>
        <w:t>公司未提供《专项债券项目收益与融资自求平衡方案》、《专项债券之法律意见书》。</w:t>
      </w:r>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firstLine="643" w:firstLineChars="200"/>
        <w:textAlignment w:val="auto"/>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3.项目制度建设情况</w:t>
      </w:r>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highlight w:val="none"/>
          <w:lang w:eastAsia="zh-CN"/>
        </w:rPr>
      </w:pPr>
      <w:r>
        <w:rPr>
          <w:rFonts w:hint="eastAsia" w:ascii="仿宋" w:hAnsi="仿宋" w:eastAsia="仿宋" w:cs="仿宋"/>
          <w:kern w:val="2"/>
          <w:sz w:val="32"/>
          <w:szCs w:val="32"/>
          <w:highlight w:val="none"/>
          <w:lang w:val="en-US" w:eastAsia="zh-CN" w:bidi="ar-SA"/>
        </w:rPr>
        <w:t>市公用事业基础设施建设公司主要根据邵阳市人民政府第38次常务会议要求对污水截污工程项目进行可研、立项、申报、评审、招标、政府采购、监理、验收等事项，但未制定项目管理制度</w:t>
      </w:r>
      <w:r>
        <w:rPr>
          <w:rFonts w:hint="eastAsia" w:ascii="仿宋" w:hAnsi="仿宋" w:eastAsia="仿宋" w:cs="仿宋"/>
          <w:sz w:val="32"/>
          <w:szCs w:val="32"/>
          <w:highlight w:val="none"/>
          <w:lang w:eastAsia="zh-CN"/>
        </w:rPr>
        <w:t>。</w:t>
      </w:r>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firstLine="643" w:firstLineChars="200"/>
        <w:textAlignment w:val="auto"/>
        <w:outlineLvl w:val="1"/>
        <w:rPr>
          <w:rFonts w:hint="eastAsia" w:ascii="仿宋" w:hAnsi="仿宋" w:eastAsia="仿宋" w:cs="仿宋"/>
          <w:b/>
          <w:bCs/>
          <w:sz w:val="32"/>
          <w:szCs w:val="32"/>
          <w:highlight w:val="none"/>
          <w:lang w:eastAsia="zh-CN"/>
        </w:rPr>
      </w:pPr>
      <w:r>
        <w:rPr>
          <w:rFonts w:hint="eastAsia" w:ascii="仿宋" w:hAnsi="仿宋" w:eastAsia="仿宋" w:cs="仿宋"/>
          <w:b/>
          <w:bCs/>
          <w:sz w:val="32"/>
          <w:szCs w:val="32"/>
          <w:highlight w:val="none"/>
          <w:lang w:val="en-US" w:eastAsia="zh-CN"/>
        </w:rPr>
        <w:t>4.</w:t>
      </w:r>
      <w:r>
        <w:rPr>
          <w:rFonts w:hint="eastAsia" w:ascii="仿宋" w:hAnsi="仿宋" w:eastAsia="仿宋" w:cs="仿宋"/>
          <w:b/>
          <w:bCs/>
          <w:sz w:val="32"/>
          <w:szCs w:val="32"/>
          <w:highlight w:val="none"/>
          <w:lang w:eastAsia="zh-CN"/>
        </w:rPr>
        <w:t>项目资金情况</w:t>
      </w:r>
      <w:bookmarkEnd w:id="3"/>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firstLine="643" w:firstLineChars="200"/>
        <w:textAlignment w:val="auto"/>
        <w:rPr>
          <w:rFonts w:hint="eastAsia" w:ascii="仿宋" w:hAnsi="仿宋" w:eastAsia="仿宋" w:cs="仿宋"/>
          <w:b/>
          <w:bCs/>
          <w:sz w:val="32"/>
          <w:szCs w:val="32"/>
          <w:highlight w:val="none"/>
        </w:rPr>
      </w:pPr>
      <w:bookmarkStart w:id="5" w:name="_Toc390096926"/>
      <w:r>
        <w:rPr>
          <w:rFonts w:hint="eastAsia" w:ascii="仿宋" w:hAnsi="仿宋" w:eastAsia="仿宋" w:cs="仿宋"/>
          <w:b/>
          <w:bCs/>
          <w:sz w:val="32"/>
          <w:szCs w:val="32"/>
          <w:highlight w:val="none"/>
          <w:lang w:eastAsia="zh-CN"/>
        </w:rPr>
        <w:t>（</w:t>
      </w:r>
      <w:r>
        <w:rPr>
          <w:rFonts w:hint="eastAsia" w:ascii="仿宋" w:hAnsi="仿宋" w:eastAsia="仿宋" w:cs="仿宋"/>
          <w:b/>
          <w:bCs/>
          <w:sz w:val="32"/>
          <w:szCs w:val="32"/>
          <w:highlight w:val="none"/>
          <w:lang w:val="en-US" w:eastAsia="zh-CN"/>
        </w:rPr>
        <w:t>1</w:t>
      </w:r>
      <w:r>
        <w:rPr>
          <w:rFonts w:hint="eastAsia" w:ascii="仿宋" w:hAnsi="仿宋" w:eastAsia="仿宋" w:cs="仿宋"/>
          <w:b/>
          <w:bCs/>
          <w:sz w:val="32"/>
          <w:szCs w:val="32"/>
          <w:highlight w:val="none"/>
          <w:lang w:eastAsia="zh-CN"/>
        </w:rPr>
        <w:t>）</w:t>
      </w:r>
      <w:r>
        <w:rPr>
          <w:rFonts w:hint="eastAsia" w:ascii="仿宋" w:hAnsi="仿宋" w:eastAsia="仿宋" w:cs="仿宋"/>
          <w:b/>
          <w:bCs/>
          <w:sz w:val="32"/>
          <w:szCs w:val="32"/>
          <w:highlight w:val="none"/>
        </w:rPr>
        <w:t>资金</w:t>
      </w:r>
      <w:r>
        <w:rPr>
          <w:rFonts w:hint="eastAsia" w:ascii="仿宋" w:hAnsi="仿宋" w:eastAsia="仿宋" w:cs="仿宋"/>
          <w:b/>
          <w:bCs/>
          <w:sz w:val="32"/>
          <w:szCs w:val="32"/>
          <w:highlight w:val="none"/>
          <w:lang w:eastAsia="zh-CN"/>
        </w:rPr>
        <w:t>来源和拨付</w:t>
      </w:r>
      <w:r>
        <w:rPr>
          <w:rFonts w:hint="eastAsia" w:ascii="仿宋" w:hAnsi="仿宋" w:eastAsia="仿宋" w:cs="仿宋"/>
          <w:b/>
          <w:bCs/>
          <w:sz w:val="32"/>
          <w:szCs w:val="32"/>
          <w:highlight w:val="none"/>
        </w:rPr>
        <w:t>到位情况</w:t>
      </w:r>
      <w:bookmarkEnd w:id="5"/>
    </w:p>
    <w:p>
      <w:pPr>
        <w:pStyle w:val="12"/>
        <w:keepNext w:val="0"/>
        <w:keepLines w:val="0"/>
        <w:pageBreakBefore w:val="0"/>
        <w:widowControl w:val="0"/>
        <w:shd w:val="clear"/>
        <w:kinsoku/>
        <w:wordWrap/>
        <w:overflowPunct/>
        <w:topLinePunct w:val="0"/>
        <w:autoSpaceDE/>
        <w:autoSpaceDN/>
        <w:bidi w:val="0"/>
        <w:adjustRightInd/>
        <w:snapToGrid/>
        <w:spacing w:beforeLines="0" w:afterLines="0" w:line="360" w:lineRule="auto"/>
        <w:ind w:left="0" w:leftChars="0"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本项目获批发行“湖南省“两供两治”（供水供气、污水和生活垃圾治理）专项债券1414万元。2019年11月19日，市公用事业基础设施建设公司的建设银行00378账户到位本项目地方政府专项债券资金1414万元，本项目专项债券资金已全部按时到位。</w:t>
      </w:r>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firstLine="643" w:firstLineChars="200"/>
        <w:textAlignment w:val="auto"/>
        <w:rPr>
          <w:rFonts w:hint="eastAsia" w:ascii="仿宋" w:hAnsi="仿宋" w:eastAsia="仿宋" w:cs="仿宋"/>
          <w:b/>
          <w:bCs/>
          <w:sz w:val="32"/>
          <w:szCs w:val="32"/>
          <w:highlight w:val="none"/>
        </w:rPr>
      </w:pPr>
      <w:bookmarkStart w:id="6" w:name="_Toc390096927"/>
      <w:r>
        <w:rPr>
          <w:rFonts w:hint="eastAsia" w:ascii="仿宋" w:hAnsi="仿宋" w:eastAsia="仿宋" w:cs="仿宋"/>
          <w:b/>
          <w:bCs/>
          <w:sz w:val="32"/>
          <w:szCs w:val="32"/>
          <w:highlight w:val="none"/>
          <w:lang w:val="en-US" w:eastAsia="zh-CN"/>
        </w:rPr>
        <w:t>（2）</w:t>
      </w:r>
      <w:r>
        <w:rPr>
          <w:rFonts w:hint="eastAsia" w:ascii="仿宋" w:hAnsi="仿宋" w:eastAsia="仿宋" w:cs="仿宋"/>
          <w:b/>
          <w:bCs/>
          <w:sz w:val="32"/>
          <w:szCs w:val="32"/>
          <w:highlight w:val="none"/>
        </w:rPr>
        <w:t>资金</w:t>
      </w:r>
      <w:r>
        <w:rPr>
          <w:rFonts w:hint="eastAsia" w:ascii="仿宋" w:hAnsi="仿宋" w:eastAsia="仿宋" w:cs="仿宋"/>
          <w:b/>
          <w:bCs/>
          <w:sz w:val="32"/>
          <w:szCs w:val="32"/>
          <w:highlight w:val="none"/>
          <w:lang w:eastAsia="zh-CN"/>
        </w:rPr>
        <w:t>使用</w:t>
      </w:r>
      <w:r>
        <w:rPr>
          <w:rFonts w:hint="eastAsia" w:ascii="仿宋" w:hAnsi="仿宋" w:eastAsia="仿宋" w:cs="仿宋"/>
          <w:b/>
          <w:bCs/>
          <w:sz w:val="32"/>
          <w:szCs w:val="32"/>
          <w:highlight w:val="none"/>
        </w:rPr>
        <w:t>情况</w:t>
      </w:r>
      <w:bookmarkEnd w:id="6"/>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根据</w:t>
      </w:r>
      <w:r>
        <w:rPr>
          <w:rFonts w:hint="eastAsia" w:ascii="仿宋" w:hAnsi="仿宋" w:eastAsia="仿宋" w:cs="仿宋"/>
          <w:sz w:val="32"/>
          <w:szCs w:val="32"/>
          <w:highlight w:val="none"/>
          <w:lang w:val="en-US" w:eastAsia="zh-CN"/>
        </w:rPr>
        <w:t>市公用事业基础设施建设公司提供的项目辅助明细账，</w:t>
      </w:r>
      <w:r>
        <w:rPr>
          <w:rFonts w:hint="eastAsia" w:ascii="仿宋" w:hAnsi="仿宋" w:eastAsia="仿宋" w:cs="仿宋"/>
          <w:sz w:val="32"/>
          <w:szCs w:val="32"/>
          <w:highlight w:val="none"/>
        </w:rPr>
        <w:t>截至20</w:t>
      </w:r>
      <w:r>
        <w:rPr>
          <w:rFonts w:hint="eastAsia" w:ascii="仿宋" w:hAnsi="仿宋" w:eastAsia="仿宋" w:cs="仿宋"/>
          <w:sz w:val="32"/>
          <w:szCs w:val="32"/>
          <w:highlight w:val="none"/>
          <w:lang w:val="en-US" w:eastAsia="zh-CN"/>
        </w:rPr>
        <w:t>21</w:t>
      </w:r>
      <w:r>
        <w:rPr>
          <w:rFonts w:hint="eastAsia" w:ascii="仿宋" w:hAnsi="仿宋" w:eastAsia="仿宋" w:cs="仿宋"/>
          <w:sz w:val="32"/>
          <w:szCs w:val="32"/>
          <w:highlight w:val="none"/>
        </w:rPr>
        <w:t>年</w:t>
      </w:r>
      <w:r>
        <w:rPr>
          <w:rFonts w:hint="eastAsia" w:ascii="仿宋" w:hAnsi="仿宋" w:eastAsia="仿宋" w:cs="仿宋"/>
          <w:sz w:val="32"/>
          <w:szCs w:val="32"/>
          <w:highlight w:val="none"/>
          <w:lang w:val="en-US" w:eastAsia="zh-CN"/>
        </w:rPr>
        <w:t>1月底</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茶元头污水截流项目实际总支出金额为</w:t>
      </w:r>
      <w:r>
        <w:rPr>
          <w:rFonts w:hint="eastAsia" w:ascii="仿宋" w:hAnsi="仿宋" w:eastAsia="仿宋" w:cs="仿宋"/>
          <w:sz w:val="32"/>
          <w:szCs w:val="32"/>
          <w:highlight w:val="none"/>
          <w:lang w:val="en-US" w:eastAsia="zh-CN"/>
        </w:rPr>
        <w:t>1748.49万元，其中：1）地方财政资金支出334.49万元，主要用于前期工作经费、可研、测绘、审图等费用；2）专项债券资金支出1414万</w:t>
      </w:r>
      <w:r>
        <w:rPr>
          <w:rFonts w:hint="eastAsia" w:ascii="仿宋" w:hAnsi="仿宋" w:eastAsia="仿宋" w:cs="仿宋"/>
          <w:sz w:val="32"/>
          <w:szCs w:val="32"/>
          <w:highlight w:val="none"/>
        </w:rPr>
        <w:t>元</w:t>
      </w:r>
      <w:r>
        <w:rPr>
          <w:rFonts w:hint="eastAsia" w:ascii="仿宋" w:hAnsi="仿宋" w:eastAsia="仿宋" w:cs="仿宋"/>
          <w:sz w:val="32"/>
          <w:szCs w:val="32"/>
          <w:highlight w:val="none"/>
          <w:lang w:val="en-US" w:eastAsia="zh-CN"/>
        </w:rPr>
        <w:t>，</w:t>
      </w:r>
      <w:r>
        <w:rPr>
          <w:rFonts w:hint="eastAsia" w:ascii="仿宋" w:hAnsi="仿宋" w:eastAsia="仿宋" w:cs="仿宋"/>
          <w:sz w:val="32"/>
          <w:szCs w:val="32"/>
          <w:highlight w:val="none"/>
          <w:lang w:eastAsia="zh-CN"/>
        </w:rPr>
        <w:t>预算执行率</w:t>
      </w:r>
      <w:r>
        <w:rPr>
          <w:rFonts w:hint="eastAsia" w:ascii="仿宋" w:hAnsi="仿宋" w:eastAsia="仿宋" w:cs="仿宋"/>
          <w:sz w:val="32"/>
          <w:szCs w:val="32"/>
          <w:highlight w:val="none"/>
          <w:lang w:val="en-US" w:eastAsia="zh-CN"/>
        </w:rPr>
        <w:t>100%。专项债券资金</w:t>
      </w:r>
      <w:r>
        <w:rPr>
          <w:rFonts w:hint="eastAsia" w:ascii="仿宋" w:hAnsi="仿宋" w:eastAsia="仿宋" w:cs="仿宋"/>
          <w:sz w:val="32"/>
          <w:szCs w:val="32"/>
          <w:highlight w:val="none"/>
        </w:rPr>
        <w:t>支出项目及金额如下：</w:t>
      </w:r>
    </w:p>
    <w:p>
      <w:pPr>
        <w:keepNext w:val="0"/>
        <w:keepLines w:val="0"/>
        <w:pageBreakBefore w:val="0"/>
        <w:widowControl w:val="0"/>
        <w:shd w:val="clear"/>
        <w:kinsoku/>
        <w:wordWrap/>
        <w:overflowPunct/>
        <w:topLinePunct w:val="0"/>
        <w:autoSpaceDE/>
        <w:autoSpaceDN/>
        <w:bidi w:val="0"/>
        <w:adjustRightInd/>
        <w:snapToGrid w:val="0"/>
        <w:spacing w:line="240" w:lineRule="atLeast"/>
        <w:jc w:val="center"/>
        <w:textAlignment w:val="auto"/>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1414万元</w:t>
      </w:r>
      <w:r>
        <w:rPr>
          <w:rFonts w:hint="eastAsia" w:ascii="仿宋" w:hAnsi="仿宋" w:eastAsia="仿宋" w:cs="仿宋"/>
          <w:b/>
          <w:bCs/>
          <w:sz w:val="32"/>
          <w:szCs w:val="32"/>
          <w:highlight w:val="none"/>
          <w:lang w:eastAsia="zh-CN"/>
        </w:rPr>
        <w:t>专项债券资金使用情况表</w:t>
      </w:r>
    </w:p>
    <w:p>
      <w:pPr>
        <w:keepNext w:val="0"/>
        <w:keepLines w:val="0"/>
        <w:pageBreakBefore w:val="0"/>
        <w:widowControl w:val="0"/>
        <w:shd w:val="clear"/>
        <w:kinsoku/>
        <w:wordWrap/>
        <w:overflowPunct/>
        <w:topLinePunct w:val="0"/>
        <w:autoSpaceDE/>
        <w:autoSpaceDN/>
        <w:bidi w:val="0"/>
        <w:adjustRightInd/>
        <w:snapToGrid w:val="0"/>
        <w:spacing w:line="240" w:lineRule="atLeast"/>
        <w:ind w:left="0" w:leftChars="0" w:firstLine="640" w:firstLineChars="200"/>
        <w:jc w:val="right"/>
        <w:textAlignment w:val="auto"/>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金额单位：万元</w:t>
      </w:r>
    </w:p>
    <w:tbl>
      <w:tblPr>
        <w:tblStyle w:val="13"/>
        <w:tblW w:w="9225" w:type="dxa"/>
        <w:jc w:val="center"/>
        <w:shd w:val="clear" w:color="auto" w:fill="auto"/>
        <w:tblLayout w:type="fixed"/>
        <w:tblCellMar>
          <w:top w:w="0" w:type="dxa"/>
          <w:left w:w="0" w:type="dxa"/>
          <w:bottom w:w="0" w:type="dxa"/>
          <w:right w:w="0" w:type="dxa"/>
        </w:tblCellMar>
      </w:tblPr>
      <w:tblGrid>
        <w:gridCol w:w="628"/>
        <w:gridCol w:w="1464"/>
        <w:gridCol w:w="1091"/>
        <w:gridCol w:w="1251"/>
        <w:gridCol w:w="1541"/>
        <w:gridCol w:w="3250"/>
      </w:tblGrid>
      <w:tr>
        <w:tblPrEx>
          <w:shd w:val="clear" w:color="auto" w:fill="auto"/>
          <w:tblCellMar>
            <w:top w:w="0" w:type="dxa"/>
            <w:left w:w="0" w:type="dxa"/>
            <w:bottom w:w="0" w:type="dxa"/>
            <w:right w:w="0" w:type="dxa"/>
          </w:tblCellMar>
        </w:tblPrEx>
        <w:trPr>
          <w:trHeight w:val="90" w:hRule="atLeast"/>
          <w:tblHeader/>
          <w:jc w:val="center"/>
        </w:trPr>
        <w:tc>
          <w:tcPr>
            <w:tcW w:w="62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320" w:lineRule="exact"/>
              <w:ind w:left="0" w:leftChars="0"/>
              <w:jc w:val="center"/>
              <w:textAlignment w:val="center"/>
              <w:rPr>
                <w:rFonts w:hint="eastAsia" w:ascii="宋体" w:hAnsi="宋体" w:eastAsia="宋体" w:cs="宋体"/>
                <w:b/>
                <w:bCs/>
                <w:i w:val="0"/>
                <w:color w:val="000000"/>
                <w:sz w:val="21"/>
                <w:szCs w:val="21"/>
                <w:highlight w:val="none"/>
                <w:u w:val="none"/>
              </w:rPr>
            </w:pPr>
            <w:r>
              <w:rPr>
                <w:rFonts w:hint="eastAsia" w:ascii="宋体" w:hAnsi="宋体" w:eastAsia="宋体" w:cs="宋体"/>
                <w:b/>
                <w:bCs/>
                <w:i w:val="0"/>
                <w:color w:val="000000"/>
                <w:kern w:val="0"/>
                <w:sz w:val="21"/>
                <w:szCs w:val="21"/>
                <w:highlight w:val="none"/>
                <w:u w:val="none"/>
                <w:lang w:val="en-US" w:eastAsia="zh-CN" w:bidi="ar"/>
              </w:rPr>
              <w:t>序号</w:t>
            </w:r>
          </w:p>
        </w:tc>
        <w:tc>
          <w:tcPr>
            <w:tcW w:w="14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320" w:lineRule="exact"/>
              <w:ind w:left="0" w:leftChars="0"/>
              <w:jc w:val="center"/>
              <w:textAlignment w:val="center"/>
              <w:rPr>
                <w:rFonts w:hint="eastAsia" w:ascii="宋体" w:hAnsi="宋体" w:eastAsia="宋体" w:cs="宋体"/>
                <w:b/>
                <w:bCs/>
                <w:i w:val="0"/>
                <w:color w:val="000000"/>
                <w:sz w:val="21"/>
                <w:szCs w:val="21"/>
                <w:highlight w:val="none"/>
                <w:u w:val="none"/>
              </w:rPr>
            </w:pPr>
            <w:r>
              <w:rPr>
                <w:rFonts w:hint="eastAsia" w:ascii="宋体" w:hAnsi="宋体" w:eastAsia="宋体" w:cs="宋体"/>
                <w:b/>
                <w:bCs/>
                <w:i w:val="0"/>
                <w:color w:val="000000"/>
                <w:kern w:val="0"/>
                <w:sz w:val="21"/>
                <w:szCs w:val="21"/>
                <w:highlight w:val="none"/>
                <w:u w:val="none"/>
                <w:lang w:val="en-US" w:eastAsia="zh-CN" w:bidi="ar"/>
              </w:rPr>
              <w:t>项目内容</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320" w:lineRule="exact"/>
              <w:ind w:left="0" w:leftChars="0"/>
              <w:jc w:val="center"/>
              <w:textAlignment w:val="center"/>
              <w:rPr>
                <w:rFonts w:hint="eastAsia" w:ascii="宋体" w:hAnsi="宋体" w:eastAsia="宋体" w:cs="宋体"/>
                <w:b/>
                <w:bCs/>
                <w:i w:val="0"/>
                <w:color w:val="000000"/>
                <w:kern w:val="0"/>
                <w:sz w:val="21"/>
                <w:szCs w:val="21"/>
                <w:highlight w:val="none"/>
                <w:u w:val="none"/>
                <w:lang w:val="en-US" w:eastAsia="zh-CN" w:bidi="ar"/>
              </w:rPr>
            </w:pPr>
            <w:r>
              <w:rPr>
                <w:rFonts w:hint="eastAsia" w:ascii="宋体" w:hAnsi="宋体" w:eastAsia="宋体" w:cs="宋体"/>
                <w:b/>
                <w:bCs/>
                <w:i w:val="0"/>
                <w:color w:val="000000"/>
                <w:kern w:val="0"/>
                <w:sz w:val="21"/>
                <w:szCs w:val="21"/>
                <w:highlight w:val="none"/>
                <w:u w:val="none"/>
                <w:lang w:val="en-US" w:eastAsia="zh-CN" w:bidi="ar"/>
              </w:rPr>
              <w:t>项目签订</w:t>
            </w:r>
          </w:p>
          <w:p>
            <w:pPr>
              <w:keepNext w:val="0"/>
              <w:keepLines w:val="0"/>
              <w:pageBreakBefore w:val="0"/>
              <w:widowControl/>
              <w:suppressLineNumbers w:val="0"/>
              <w:shd w:val="clear"/>
              <w:kinsoku/>
              <w:wordWrap/>
              <w:overflowPunct/>
              <w:topLinePunct w:val="0"/>
              <w:autoSpaceDE/>
              <w:autoSpaceDN/>
              <w:bidi w:val="0"/>
              <w:adjustRightInd/>
              <w:snapToGrid/>
              <w:spacing w:line="320" w:lineRule="exact"/>
              <w:ind w:left="0" w:leftChars="0"/>
              <w:jc w:val="center"/>
              <w:textAlignment w:val="center"/>
              <w:rPr>
                <w:rFonts w:hint="eastAsia" w:ascii="宋体" w:hAnsi="宋体" w:eastAsia="宋体" w:cs="宋体"/>
                <w:b/>
                <w:bCs/>
                <w:i w:val="0"/>
                <w:color w:val="000000"/>
                <w:kern w:val="2"/>
                <w:sz w:val="21"/>
                <w:szCs w:val="21"/>
                <w:highlight w:val="none"/>
                <w:u w:val="none"/>
                <w:lang w:val="en-US" w:eastAsia="zh-CN" w:bidi="ar-SA"/>
              </w:rPr>
            </w:pPr>
            <w:r>
              <w:rPr>
                <w:rFonts w:hint="eastAsia" w:ascii="宋体" w:hAnsi="宋体" w:eastAsia="宋体" w:cs="宋体"/>
                <w:b/>
                <w:bCs/>
                <w:i w:val="0"/>
                <w:color w:val="000000"/>
                <w:kern w:val="0"/>
                <w:sz w:val="21"/>
                <w:szCs w:val="21"/>
                <w:highlight w:val="none"/>
                <w:u w:val="none"/>
                <w:lang w:val="en-US" w:eastAsia="zh-CN" w:bidi="ar"/>
              </w:rPr>
              <w:t>合同金额</w:t>
            </w:r>
          </w:p>
        </w:tc>
        <w:tc>
          <w:tcPr>
            <w:tcW w:w="125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320" w:lineRule="exact"/>
              <w:ind w:left="0" w:leftChars="0"/>
              <w:jc w:val="center"/>
              <w:textAlignment w:val="center"/>
              <w:rPr>
                <w:rFonts w:hint="eastAsia" w:ascii="宋体" w:hAnsi="宋体" w:eastAsia="宋体" w:cs="宋体"/>
                <w:b/>
                <w:bCs/>
                <w:i w:val="0"/>
                <w:color w:val="000000"/>
                <w:kern w:val="0"/>
                <w:sz w:val="21"/>
                <w:szCs w:val="21"/>
                <w:highlight w:val="none"/>
                <w:u w:val="none"/>
                <w:lang w:val="en-US" w:eastAsia="zh-CN" w:bidi="ar"/>
              </w:rPr>
            </w:pPr>
            <w:r>
              <w:rPr>
                <w:rFonts w:hint="eastAsia" w:ascii="宋体" w:hAnsi="宋体" w:eastAsia="宋体" w:cs="宋体"/>
                <w:b/>
                <w:bCs/>
                <w:i w:val="0"/>
                <w:color w:val="000000"/>
                <w:kern w:val="0"/>
                <w:sz w:val="21"/>
                <w:szCs w:val="21"/>
                <w:highlight w:val="none"/>
                <w:u w:val="none"/>
                <w:lang w:val="en-US" w:eastAsia="zh-CN" w:bidi="ar"/>
              </w:rPr>
              <w:t>债券资金</w:t>
            </w:r>
          </w:p>
          <w:p>
            <w:pPr>
              <w:keepNext w:val="0"/>
              <w:keepLines w:val="0"/>
              <w:pageBreakBefore w:val="0"/>
              <w:widowControl/>
              <w:suppressLineNumbers w:val="0"/>
              <w:shd w:val="clear"/>
              <w:kinsoku/>
              <w:wordWrap/>
              <w:overflowPunct/>
              <w:topLinePunct w:val="0"/>
              <w:autoSpaceDE/>
              <w:autoSpaceDN/>
              <w:bidi w:val="0"/>
              <w:adjustRightInd/>
              <w:snapToGrid/>
              <w:spacing w:line="320" w:lineRule="exact"/>
              <w:ind w:left="0" w:leftChars="0"/>
              <w:jc w:val="center"/>
              <w:textAlignment w:val="center"/>
              <w:rPr>
                <w:rFonts w:hint="eastAsia" w:ascii="宋体" w:hAnsi="宋体" w:eastAsia="宋体" w:cs="宋体"/>
                <w:b/>
                <w:bCs/>
                <w:i w:val="0"/>
                <w:color w:val="000000"/>
                <w:kern w:val="2"/>
                <w:sz w:val="21"/>
                <w:szCs w:val="21"/>
                <w:highlight w:val="none"/>
                <w:u w:val="none"/>
                <w:lang w:val="en-US" w:eastAsia="zh-CN" w:bidi="ar-SA"/>
              </w:rPr>
            </w:pPr>
            <w:r>
              <w:rPr>
                <w:rFonts w:hint="eastAsia" w:ascii="宋体" w:hAnsi="宋体" w:eastAsia="宋体" w:cs="宋体"/>
                <w:b/>
                <w:bCs/>
                <w:i w:val="0"/>
                <w:color w:val="000000"/>
                <w:kern w:val="0"/>
                <w:sz w:val="21"/>
                <w:szCs w:val="21"/>
                <w:highlight w:val="none"/>
                <w:u w:val="none"/>
                <w:lang w:val="en-US" w:eastAsia="zh-CN" w:bidi="ar"/>
              </w:rPr>
              <w:t>支出金额</w:t>
            </w:r>
          </w:p>
        </w:tc>
        <w:tc>
          <w:tcPr>
            <w:tcW w:w="15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320" w:lineRule="exact"/>
              <w:ind w:left="0" w:leftChars="0"/>
              <w:jc w:val="center"/>
              <w:textAlignment w:val="center"/>
              <w:rPr>
                <w:rFonts w:hint="eastAsia" w:ascii="宋体" w:hAnsi="宋体" w:eastAsia="宋体" w:cs="宋体"/>
                <w:b/>
                <w:bCs/>
                <w:i w:val="0"/>
                <w:color w:val="000000"/>
                <w:kern w:val="0"/>
                <w:sz w:val="21"/>
                <w:szCs w:val="21"/>
                <w:highlight w:val="none"/>
                <w:u w:val="none"/>
                <w:lang w:val="en-US" w:eastAsia="zh-CN" w:bidi="ar"/>
              </w:rPr>
            </w:pPr>
            <w:r>
              <w:rPr>
                <w:rFonts w:hint="eastAsia" w:ascii="宋体" w:hAnsi="宋体" w:eastAsia="宋体" w:cs="宋体"/>
                <w:b/>
                <w:bCs/>
                <w:i w:val="0"/>
                <w:color w:val="000000"/>
                <w:kern w:val="0"/>
                <w:sz w:val="21"/>
                <w:szCs w:val="21"/>
                <w:highlight w:val="none"/>
                <w:u w:val="none"/>
                <w:lang w:val="en-US" w:eastAsia="zh-CN" w:bidi="ar"/>
              </w:rPr>
              <w:t>收款单位</w:t>
            </w:r>
          </w:p>
        </w:tc>
        <w:tc>
          <w:tcPr>
            <w:tcW w:w="32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320" w:lineRule="exact"/>
              <w:ind w:left="0" w:leftChars="0"/>
              <w:jc w:val="center"/>
              <w:textAlignment w:val="center"/>
              <w:rPr>
                <w:rFonts w:hint="eastAsia" w:ascii="宋体" w:hAnsi="宋体" w:eastAsia="宋体" w:cs="宋体"/>
                <w:b/>
                <w:bCs/>
                <w:i w:val="0"/>
                <w:color w:val="000000"/>
                <w:kern w:val="0"/>
                <w:sz w:val="21"/>
                <w:szCs w:val="21"/>
                <w:highlight w:val="none"/>
                <w:u w:val="none"/>
                <w:lang w:val="en-US" w:eastAsia="zh-CN" w:bidi="ar"/>
              </w:rPr>
            </w:pPr>
            <w:r>
              <w:rPr>
                <w:rFonts w:hint="eastAsia" w:ascii="宋体" w:hAnsi="宋体" w:eastAsia="宋体" w:cs="宋体"/>
                <w:b/>
                <w:bCs/>
                <w:i w:val="0"/>
                <w:color w:val="000000"/>
                <w:kern w:val="0"/>
                <w:sz w:val="21"/>
                <w:szCs w:val="21"/>
                <w:highlight w:val="none"/>
                <w:u w:val="none"/>
                <w:lang w:val="en-US" w:eastAsia="zh-CN" w:bidi="ar"/>
              </w:rPr>
              <w:t>备注</w:t>
            </w:r>
          </w:p>
        </w:tc>
      </w:tr>
      <w:tr>
        <w:tblPrEx>
          <w:shd w:val="clear" w:color="auto" w:fill="auto"/>
          <w:tblCellMar>
            <w:top w:w="0" w:type="dxa"/>
            <w:left w:w="0" w:type="dxa"/>
            <w:bottom w:w="0" w:type="dxa"/>
            <w:right w:w="0" w:type="dxa"/>
          </w:tblCellMar>
        </w:tblPrEx>
        <w:trPr>
          <w:trHeight w:val="1548" w:hRule="atLeast"/>
          <w:jc w:val="center"/>
        </w:trPr>
        <w:tc>
          <w:tcPr>
            <w:tcW w:w="62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320" w:lineRule="exact"/>
              <w:ind w:left="0" w:leftChars="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1</w:t>
            </w:r>
          </w:p>
        </w:tc>
        <w:tc>
          <w:tcPr>
            <w:tcW w:w="14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320" w:lineRule="exact"/>
              <w:ind w:left="0" w:leftChars="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bidi="ar"/>
              </w:rPr>
              <w:t>茶元头工程款</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320" w:lineRule="exact"/>
              <w:ind w:left="0" w:leftChars="0"/>
              <w:jc w:val="center"/>
              <w:textAlignment w:val="center"/>
              <w:rPr>
                <w:rFonts w:hint="eastAsia" w:ascii="宋体" w:hAnsi="宋体" w:eastAsia="宋体" w:cs="宋体"/>
                <w:i w:val="0"/>
                <w:color w:val="000000"/>
                <w:kern w:val="2"/>
                <w:sz w:val="21"/>
                <w:szCs w:val="21"/>
                <w:highlight w:val="none"/>
                <w:u w:val="none"/>
                <w:lang w:val="en-US" w:eastAsia="zh-CN" w:bidi="ar-SA"/>
              </w:rPr>
            </w:pPr>
            <w:r>
              <w:rPr>
                <w:rFonts w:hint="eastAsia" w:ascii="宋体" w:hAnsi="宋体" w:eastAsia="宋体" w:cs="宋体"/>
                <w:i w:val="0"/>
                <w:color w:val="000000"/>
                <w:sz w:val="21"/>
                <w:szCs w:val="21"/>
                <w:highlight w:val="none"/>
                <w:u w:val="none"/>
                <w:lang w:val="en-US" w:eastAsia="zh-CN"/>
              </w:rPr>
              <w:t>2358.05</w:t>
            </w:r>
          </w:p>
        </w:tc>
        <w:tc>
          <w:tcPr>
            <w:tcW w:w="125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320" w:lineRule="exact"/>
              <w:ind w:left="0" w:leftChars="0"/>
              <w:jc w:val="center"/>
              <w:textAlignment w:val="center"/>
              <w:rPr>
                <w:rFonts w:hint="eastAsia" w:ascii="宋体" w:hAnsi="宋体" w:eastAsia="宋体" w:cs="宋体"/>
                <w:i w:val="0"/>
                <w:color w:val="000000"/>
                <w:kern w:val="2"/>
                <w:sz w:val="21"/>
                <w:szCs w:val="21"/>
                <w:highlight w:val="none"/>
                <w:u w:val="none"/>
                <w:lang w:val="en-US" w:eastAsia="zh-CN" w:bidi="ar-SA"/>
              </w:rPr>
            </w:pPr>
            <w:r>
              <w:rPr>
                <w:rFonts w:hint="eastAsia" w:ascii="宋体" w:hAnsi="宋体" w:eastAsia="宋体" w:cs="宋体"/>
                <w:i w:val="0"/>
                <w:color w:val="000000"/>
                <w:sz w:val="21"/>
                <w:szCs w:val="21"/>
                <w:highlight w:val="none"/>
                <w:u w:val="none"/>
                <w:lang w:val="en-US" w:eastAsia="zh-CN"/>
              </w:rPr>
              <w:t>1364.2</w:t>
            </w:r>
          </w:p>
        </w:tc>
        <w:tc>
          <w:tcPr>
            <w:tcW w:w="15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320" w:lineRule="exact"/>
              <w:ind w:left="0" w:leftChars="0"/>
              <w:jc w:val="center"/>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sz w:val="21"/>
                <w:szCs w:val="21"/>
                <w:highlight w:val="none"/>
                <w:lang w:val="en-US" w:eastAsia="zh-CN"/>
              </w:rPr>
              <w:t>湖南望新建设集团股份有限公司</w:t>
            </w:r>
          </w:p>
        </w:tc>
        <w:tc>
          <w:tcPr>
            <w:tcW w:w="32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numPr>
                <w:ilvl w:val="0"/>
                <w:numId w:val="0"/>
              </w:numPr>
              <w:suppressLineNumbers w:val="0"/>
              <w:shd w:val="clear"/>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color w:val="000000"/>
                <w:kern w:val="0"/>
                <w:sz w:val="21"/>
                <w:szCs w:val="21"/>
                <w:highlight w:val="none"/>
                <w:u w:val="none"/>
                <w:lang w:val="en-US" w:eastAsia="zh-CN" w:bidi="ar"/>
              </w:rPr>
              <w:t>1.送审金额约3902.65万元，经市审计局审核后工程结算金额为2807.67万元，超过中标合同金额金额449.62万元，工程造价变更未办理相关报批手续</w:t>
            </w:r>
          </w:p>
        </w:tc>
      </w:tr>
      <w:tr>
        <w:tblPrEx>
          <w:shd w:val="clear" w:color="auto" w:fill="auto"/>
          <w:tblCellMar>
            <w:top w:w="0" w:type="dxa"/>
            <w:left w:w="0" w:type="dxa"/>
            <w:bottom w:w="0" w:type="dxa"/>
            <w:right w:w="0" w:type="dxa"/>
          </w:tblCellMar>
        </w:tblPrEx>
        <w:trPr>
          <w:trHeight w:val="900" w:hRule="atLeast"/>
          <w:jc w:val="center"/>
        </w:trPr>
        <w:tc>
          <w:tcPr>
            <w:tcW w:w="62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320" w:lineRule="exact"/>
              <w:ind w:left="0" w:leftChars="0"/>
              <w:jc w:val="center"/>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color w:val="000000"/>
                <w:kern w:val="0"/>
                <w:sz w:val="21"/>
                <w:szCs w:val="21"/>
                <w:highlight w:val="none"/>
                <w:u w:val="none"/>
                <w:lang w:val="en-US" w:eastAsia="zh-CN" w:bidi="ar"/>
              </w:rPr>
              <w:t>2</w:t>
            </w:r>
          </w:p>
        </w:tc>
        <w:tc>
          <w:tcPr>
            <w:tcW w:w="14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320" w:lineRule="exact"/>
              <w:ind w:left="0" w:leftChars="0"/>
              <w:jc w:val="center"/>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color w:val="000000"/>
                <w:kern w:val="0"/>
                <w:sz w:val="21"/>
                <w:szCs w:val="21"/>
                <w:highlight w:val="none"/>
                <w:u w:val="none"/>
                <w:lang w:val="en-US" w:eastAsia="zh-CN" w:bidi="ar"/>
              </w:rPr>
              <w:t>工程设计费</w:t>
            </w:r>
          </w:p>
          <w:p>
            <w:pPr>
              <w:keepNext w:val="0"/>
              <w:keepLines w:val="0"/>
              <w:pageBreakBefore w:val="0"/>
              <w:widowControl/>
              <w:suppressLineNumbers w:val="0"/>
              <w:shd w:val="clear"/>
              <w:kinsoku/>
              <w:wordWrap/>
              <w:overflowPunct/>
              <w:topLinePunct w:val="0"/>
              <w:autoSpaceDE/>
              <w:autoSpaceDN/>
              <w:bidi w:val="0"/>
              <w:adjustRightInd/>
              <w:snapToGrid/>
              <w:spacing w:line="320" w:lineRule="exact"/>
              <w:ind w:left="0" w:leftChars="0"/>
              <w:jc w:val="center"/>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color w:val="000000"/>
                <w:kern w:val="0"/>
                <w:sz w:val="21"/>
                <w:szCs w:val="21"/>
                <w:highlight w:val="none"/>
                <w:u w:val="none"/>
                <w:lang w:val="en-US" w:eastAsia="zh-CN" w:bidi="ar"/>
              </w:rPr>
              <w:t>余款</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320" w:lineRule="exact"/>
              <w:ind w:left="0" w:leftChars="0"/>
              <w:jc w:val="center"/>
              <w:textAlignment w:val="center"/>
              <w:rPr>
                <w:rFonts w:hint="eastAsia" w:ascii="宋体" w:hAnsi="宋体" w:eastAsia="宋体" w:cs="宋体"/>
                <w:i w:val="0"/>
                <w:color w:val="000000"/>
                <w:kern w:val="2"/>
                <w:sz w:val="21"/>
                <w:szCs w:val="21"/>
                <w:highlight w:val="none"/>
                <w:u w:val="none"/>
                <w:lang w:val="en-US" w:eastAsia="zh-CN" w:bidi="ar-SA"/>
              </w:rPr>
            </w:pPr>
            <w:r>
              <w:rPr>
                <w:rFonts w:hint="eastAsia" w:ascii="宋体" w:hAnsi="宋体" w:eastAsia="宋体" w:cs="宋体"/>
                <w:i w:val="0"/>
                <w:color w:val="000000"/>
                <w:sz w:val="21"/>
                <w:szCs w:val="21"/>
                <w:highlight w:val="none"/>
                <w:u w:val="none"/>
                <w:lang w:val="en-US" w:eastAsia="zh-CN"/>
              </w:rPr>
              <w:t>33.8</w:t>
            </w:r>
          </w:p>
        </w:tc>
        <w:tc>
          <w:tcPr>
            <w:tcW w:w="125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320" w:lineRule="exact"/>
              <w:ind w:left="0" w:leftChars="0"/>
              <w:jc w:val="center"/>
              <w:textAlignment w:val="center"/>
              <w:rPr>
                <w:rFonts w:hint="eastAsia" w:ascii="宋体" w:hAnsi="宋体" w:eastAsia="宋体" w:cs="宋体"/>
                <w:i w:val="0"/>
                <w:color w:val="000000"/>
                <w:kern w:val="2"/>
                <w:sz w:val="21"/>
                <w:szCs w:val="21"/>
                <w:highlight w:val="none"/>
                <w:u w:val="none"/>
                <w:lang w:val="en-US" w:eastAsia="zh-CN" w:bidi="ar-SA"/>
              </w:rPr>
            </w:pPr>
            <w:r>
              <w:rPr>
                <w:rFonts w:hint="eastAsia" w:ascii="宋体" w:hAnsi="宋体" w:eastAsia="宋体" w:cs="宋体"/>
                <w:i w:val="0"/>
                <w:color w:val="000000"/>
                <w:sz w:val="21"/>
                <w:szCs w:val="21"/>
                <w:highlight w:val="none"/>
                <w:u w:val="none"/>
                <w:lang w:val="en-US" w:eastAsia="zh-CN"/>
              </w:rPr>
              <w:t>28.8</w:t>
            </w:r>
          </w:p>
        </w:tc>
        <w:tc>
          <w:tcPr>
            <w:tcW w:w="15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320" w:lineRule="exact"/>
              <w:ind w:left="0" w:leftChars="0"/>
              <w:jc w:val="center"/>
              <w:textAlignment w:val="center"/>
              <w:rPr>
                <w:rFonts w:hint="eastAsia"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lang w:val="en-US" w:eastAsia="zh-CN"/>
              </w:rPr>
              <w:t>邵阳市城市规划设计研究院</w:t>
            </w:r>
          </w:p>
        </w:tc>
        <w:tc>
          <w:tcPr>
            <w:tcW w:w="32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320" w:lineRule="exact"/>
              <w:ind w:left="0" w:leftChars="0"/>
              <w:jc w:val="both"/>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color w:val="000000"/>
                <w:kern w:val="0"/>
                <w:sz w:val="21"/>
                <w:szCs w:val="21"/>
                <w:highlight w:val="none"/>
                <w:u w:val="none"/>
                <w:lang w:val="en-US" w:eastAsia="zh-CN" w:bidi="ar"/>
              </w:rPr>
              <w:t>已用地方财政资金支付5万元</w:t>
            </w:r>
          </w:p>
        </w:tc>
      </w:tr>
      <w:tr>
        <w:tblPrEx>
          <w:shd w:val="clear" w:color="auto" w:fill="auto"/>
          <w:tblCellMar>
            <w:top w:w="0" w:type="dxa"/>
            <w:left w:w="0" w:type="dxa"/>
            <w:bottom w:w="0" w:type="dxa"/>
            <w:right w:w="0" w:type="dxa"/>
          </w:tblCellMar>
        </w:tblPrEx>
        <w:trPr>
          <w:trHeight w:val="791" w:hRule="atLeast"/>
          <w:jc w:val="center"/>
        </w:trPr>
        <w:tc>
          <w:tcPr>
            <w:tcW w:w="62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320" w:lineRule="exact"/>
              <w:ind w:left="0" w:leftChars="0"/>
              <w:jc w:val="center"/>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color w:val="000000"/>
                <w:kern w:val="0"/>
                <w:sz w:val="21"/>
                <w:szCs w:val="21"/>
                <w:highlight w:val="none"/>
                <w:u w:val="none"/>
                <w:lang w:val="en-US" w:eastAsia="zh-CN" w:bidi="ar"/>
              </w:rPr>
              <w:t>3</w:t>
            </w:r>
          </w:p>
        </w:tc>
        <w:tc>
          <w:tcPr>
            <w:tcW w:w="14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320" w:lineRule="exact"/>
              <w:ind w:left="0" w:leftChars="0"/>
              <w:jc w:val="center"/>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color w:val="000000"/>
                <w:kern w:val="0"/>
                <w:sz w:val="21"/>
                <w:szCs w:val="21"/>
                <w:highlight w:val="none"/>
                <w:u w:val="none"/>
                <w:lang w:val="en-US" w:eastAsia="zh-CN" w:bidi="ar"/>
              </w:rPr>
              <w:t>茶元头工程补充设计费</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320" w:lineRule="exact"/>
              <w:ind w:left="0" w:leftChars="0"/>
              <w:jc w:val="center"/>
              <w:textAlignment w:val="center"/>
              <w:rPr>
                <w:rFonts w:hint="eastAsia" w:ascii="宋体" w:hAnsi="宋体" w:eastAsia="宋体" w:cs="宋体"/>
                <w:i w:val="0"/>
                <w:color w:val="000000"/>
                <w:kern w:val="2"/>
                <w:sz w:val="21"/>
                <w:szCs w:val="21"/>
                <w:highlight w:val="none"/>
                <w:u w:val="none"/>
                <w:lang w:val="en-US" w:eastAsia="zh-CN" w:bidi="ar-SA"/>
              </w:rPr>
            </w:pPr>
            <w:r>
              <w:rPr>
                <w:rFonts w:hint="eastAsia" w:ascii="宋体" w:hAnsi="宋体" w:eastAsia="宋体" w:cs="宋体"/>
                <w:i w:val="0"/>
                <w:color w:val="000000"/>
                <w:sz w:val="21"/>
                <w:szCs w:val="21"/>
                <w:highlight w:val="none"/>
                <w:u w:val="none"/>
                <w:lang w:val="en-US" w:eastAsia="zh-CN"/>
              </w:rPr>
              <w:t>2</w:t>
            </w:r>
          </w:p>
        </w:tc>
        <w:tc>
          <w:tcPr>
            <w:tcW w:w="125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320" w:lineRule="exact"/>
              <w:ind w:left="0" w:leftChars="0"/>
              <w:jc w:val="center"/>
              <w:textAlignment w:val="center"/>
              <w:rPr>
                <w:rFonts w:hint="eastAsia" w:ascii="宋体" w:hAnsi="宋体" w:eastAsia="宋体" w:cs="宋体"/>
                <w:i w:val="0"/>
                <w:color w:val="000000"/>
                <w:kern w:val="2"/>
                <w:sz w:val="21"/>
                <w:szCs w:val="21"/>
                <w:highlight w:val="none"/>
                <w:u w:val="none"/>
                <w:lang w:val="en-US" w:eastAsia="zh-CN" w:bidi="ar-SA"/>
              </w:rPr>
            </w:pPr>
            <w:r>
              <w:rPr>
                <w:rFonts w:hint="eastAsia" w:ascii="宋体" w:hAnsi="宋体" w:eastAsia="宋体" w:cs="宋体"/>
                <w:i w:val="0"/>
                <w:color w:val="000000"/>
                <w:sz w:val="21"/>
                <w:szCs w:val="21"/>
                <w:highlight w:val="none"/>
                <w:u w:val="none"/>
                <w:lang w:val="en-US" w:eastAsia="zh-CN"/>
              </w:rPr>
              <w:t>2</w:t>
            </w:r>
          </w:p>
        </w:tc>
        <w:tc>
          <w:tcPr>
            <w:tcW w:w="15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320" w:lineRule="exact"/>
              <w:ind w:left="0" w:leftChars="0"/>
              <w:jc w:val="center"/>
              <w:textAlignment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邵阳市城市规划设计研究院</w:t>
            </w:r>
          </w:p>
        </w:tc>
        <w:tc>
          <w:tcPr>
            <w:tcW w:w="32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320" w:lineRule="exact"/>
              <w:ind w:left="0" w:leftChars="0"/>
              <w:jc w:val="left"/>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color w:val="000000"/>
                <w:kern w:val="0"/>
                <w:sz w:val="21"/>
                <w:szCs w:val="21"/>
                <w:highlight w:val="none"/>
                <w:u w:val="none"/>
                <w:lang w:val="en-US" w:eastAsia="zh-CN" w:bidi="ar"/>
              </w:rPr>
              <w:t>增加附属工程设计包干费用</w:t>
            </w:r>
          </w:p>
        </w:tc>
      </w:tr>
      <w:tr>
        <w:tblPrEx>
          <w:shd w:val="clear" w:color="auto" w:fill="auto"/>
          <w:tblCellMar>
            <w:top w:w="0" w:type="dxa"/>
            <w:left w:w="0" w:type="dxa"/>
            <w:bottom w:w="0" w:type="dxa"/>
            <w:right w:w="0" w:type="dxa"/>
          </w:tblCellMar>
        </w:tblPrEx>
        <w:trPr>
          <w:trHeight w:val="519" w:hRule="atLeast"/>
          <w:jc w:val="center"/>
        </w:trPr>
        <w:tc>
          <w:tcPr>
            <w:tcW w:w="62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320" w:lineRule="exact"/>
              <w:ind w:left="0" w:leftChars="0"/>
              <w:jc w:val="center"/>
              <w:textAlignment w:val="center"/>
              <w:rPr>
                <w:rFonts w:hint="eastAsia" w:ascii="宋体" w:hAnsi="宋体" w:eastAsia="宋体" w:cs="宋体"/>
                <w:i w:val="0"/>
                <w:color w:val="000000"/>
                <w:kern w:val="0"/>
                <w:sz w:val="21"/>
                <w:szCs w:val="21"/>
                <w:highlight w:val="none"/>
                <w:u w:val="none"/>
                <w:lang w:val="en-US" w:eastAsia="zh-CN" w:bidi="ar"/>
              </w:rPr>
            </w:pPr>
            <w:bookmarkStart w:id="7" w:name="_Toc24263"/>
            <w:r>
              <w:rPr>
                <w:rFonts w:hint="eastAsia" w:ascii="宋体" w:hAnsi="宋体" w:eastAsia="宋体" w:cs="宋体"/>
                <w:i w:val="0"/>
                <w:color w:val="000000"/>
                <w:kern w:val="0"/>
                <w:sz w:val="21"/>
                <w:szCs w:val="21"/>
                <w:highlight w:val="none"/>
                <w:u w:val="none"/>
                <w:lang w:val="en-US" w:eastAsia="zh-CN" w:bidi="ar"/>
              </w:rPr>
              <w:t>4</w:t>
            </w:r>
          </w:p>
        </w:tc>
        <w:tc>
          <w:tcPr>
            <w:tcW w:w="14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320" w:lineRule="exact"/>
              <w:ind w:left="0" w:leftChars="0"/>
              <w:jc w:val="center"/>
              <w:textAlignment w:val="center"/>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color w:val="000000"/>
                <w:kern w:val="0"/>
                <w:sz w:val="21"/>
                <w:szCs w:val="21"/>
                <w:highlight w:val="none"/>
                <w:u w:val="none"/>
                <w:lang w:val="en-US" w:eastAsia="zh-CN" w:bidi="ar"/>
              </w:rPr>
              <w:t>工程监理费</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320" w:lineRule="exact"/>
              <w:ind w:left="0" w:leftChars="0"/>
              <w:jc w:val="center"/>
              <w:textAlignment w:val="center"/>
              <w:rPr>
                <w:rFonts w:hint="eastAsia" w:ascii="宋体" w:hAnsi="宋体" w:eastAsia="宋体" w:cs="宋体"/>
                <w:i w:val="0"/>
                <w:color w:val="000000"/>
                <w:kern w:val="2"/>
                <w:sz w:val="21"/>
                <w:szCs w:val="21"/>
                <w:highlight w:val="none"/>
                <w:u w:val="none"/>
                <w:lang w:val="en-US" w:eastAsia="zh-CN" w:bidi="ar-SA"/>
              </w:rPr>
            </w:pPr>
            <w:r>
              <w:rPr>
                <w:rFonts w:hint="eastAsia" w:ascii="宋体" w:hAnsi="宋体" w:eastAsia="宋体" w:cs="宋体"/>
                <w:i w:val="0"/>
                <w:color w:val="000000"/>
                <w:sz w:val="21"/>
                <w:szCs w:val="21"/>
                <w:highlight w:val="none"/>
                <w:u w:val="none"/>
                <w:lang w:val="en-US" w:eastAsia="zh-CN"/>
              </w:rPr>
              <w:t>19</w:t>
            </w:r>
          </w:p>
        </w:tc>
        <w:tc>
          <w:tcPr>
            <w:tcW w:w="125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320" w:lineRule="exact"/>
              <w:ind w:left="0" w:leftChars="0"/>
              <w:jc w:val="center"/>
              <w:textAlignment w:val="center"/>
              <w:rPr>
                <w:rFonts w:hint="eastAsia" w:ascii="宋体" w:hAnsi="宋体" w:eastAsia="宋体" w:cs="宋体"/>
                <w:i w:val="0"/>
                <w:color w:val="000000"/>
                <w:kern w:val="2"/>
                <w:sz w:val="21"/>
                <w:szCs w:val="21"/>
                <w:highlight w:val="none"/>
                <w:u w:val="none"/>
                <w:lang w:val="en-US" w:eastAsia="zh-CN" w:bidi="ar-SA"/>
              </w:rPr>
            </w:pPr>
            <w:r>
              <w:rPr>
                <w:rFonts w:hint="eastAsia" w:ascii="宋体" w:hAnsi="宋体" w:eastAsia="宋体" w:cs="宋体"/>
                <w:i w:val="0"/>
                <w:color w:val="000000"/>
                <w:sz w:val="21"/>
                <w:szCs w:val="21"/>
                <w:highlight w:val="none"/>
                <w:u w:val="none"/>
                <w:lang w:val="en-US" w:eastAsia="zh-CN"/>
              </w:rPr>
              <w:t>19</w:t>
            </w:r>
          </w:p>
        </w:tc>
        <w:tc>
          <w:tcPr>
            <w:tcW w:w="15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320" w:lineRule="exact"/>
              <w:ind w:left="0" w:leftChars="0"/>
              <w:jc w:val="center"/>
              <w:textAlignment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邵阳市中信工程建设监理有限公司</w:t>
            </w:r>
          </w:p>
        </w:tc>
        <w:tc>
          <w:tcPr>
            <w:tcW w:w="32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320" w:lineRule="exact"/>
              <w:ind w:left="0" w:leftChars="0"/>
              <w:jc w:val="both"/>
              <w:textAlignment w:val="center"/>
              <w:rPr>
                <w:rFonts w:hint="eastAsia" w:ascii="宋体" w:hAnsi="宋体" w:eastAsia="宋体" w:cs="宋体"/>
                <w:i w:val="0"/>
                <w:color w:val="000000"/>
                <w:kern w:val="0"/>
                <w:sz w:val="21"/>
                <w:szCs w:val="21"/>
                <w:highlight w:val="none"/>
                <w:u w:val="none"/>
                <w:lang w:val="en-US" w:eastAsia="zh-CN" w:bidi="ar"/>
              </w:rPr>
            </w:pPr>
          </w:p>
        </w:tc>
      </w:tr>
      <w:tr>
        <w:tblPrEx>
          <w:shd w:val="clear" w:color="auto" w:fill="auto"/>
          <w:tblCellMar>
            <w:top w:w="0" w:type="dxa"/>
            <w:left w:w="0" w:type="dxa"/>
            <w:bottom w:w="0" w:type="dxa"/>
            <w:right w:w="0" w:type="dxa"/>
          </w:tblCellMar>
        </w:tblPrEx>
        <w:trPr>
          <w:trHeight w:val="552" w:hRule="atLeast"/>
          <w:jc w:val="center"/>
        </w:trPr>
        <w:tc>
          <w:tcPr>
            <w:tcW w:w="62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320" w:lineRule="exact"/>
              <w:ind w:left="0" w:leftChars="0"/>
              <w:jc w:val="center"/>
              <w:textAlignment w:val="center"/>
              <w:rPr>
                <w:rFonts w:hint="eastAsia" w:ascii="宋体" w:hAnsi="宋体" w:eastAsia="宋体" w:cs="宋体"/>
                <w:b/>
                <w:bCs/>
                <w:i w:val="0"/>
                <w:color w:val="000000"/>
                <w:kern w:val="0"/>
                <w:sz w:val="21"/>
                <w:szCs w:val="21"/>
                <w:highlight w:val="none"/>
                <w:u w:val="none"/>
                <w:lang w:val="en-US" w:eastAsia="zh-CN" w:bidi="ar"/>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320" w:lineRule="exact"/>
              <w:ind w:left="0" w:leftChars="0"/>
              <w:jc w:val="center"/>
              <w:textAlignment w:val="center"/>
              <w:rPr>
                <w:rFonts w:hint="eastAsia" w:ascii="宋体" w:hAnsi="宋体" w:eastAsia="宋体" w:cs="宋体"/>
                <w:b/>
                <w:bCs/>
                <w:i w:val="0"/>
                <w:color w:val="000000"/>
                <w:kern w:val="0"/>
                <w:sz w:val="21"/>
                <w:szCs w:val="21"/>
                <w:highlight w:val="none"/>
                <w:u w:val="none"/>
                <w:lang w:val="en-US" w:eastAsia="zh-CN" w:bidi="ar"/>
              </w:rPr>
            </w:pPr>
            <w:r>
              <w:rPr>
                <w:rFonts w:hint="eastAsia" w:ascii="宋体" w:hAnsi="宋体" w:eastAsia="宋体" w:cs="宋体"/>
                <w:b/>
                <w:bCs/>
                <w:i w:val="0"/>
                <w:color w:val="000000"/>
                <w:kern w:val="0"/>
                <w:sz w:val="21"/>
                <w:szCs w:val="21"/>
                <w:highlight w:val="none"/>
                <w:u w:val="none"/>
                <w:lang w:val="en-US" w:eastAsia="zh-CN" w:bidi="ar"/>
              </w:rPr>
              <w:t>合计</w:t>
            </w:r>
          </w:p>
        </w:tc>
        <w:tc>
          <w:tcPr>
            <w:tcW w:w="10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320" w:lineRule="exact"/>
              <w:ind w:left="0" w:leftChars="0"/>
              <w:jc w:val="center"/>
              <w:textAlignment w:val="center"/>
              <w:rPr>
                <w:rFonts w:hint="eastAsia" w:ascii="宋体" w:hAnsi="宋体" w:eastAsia="宋体" w:cs="宋体"/>
                <w:b/>
                <w:bCs/>
                <w:i w:val="0"/>
                <w:color w:val="000000"/>
                <w:kern w:val="2"/>
                <w:sz w:val="21"/>
                <w:szCs w:val="21"/>
                <w:highlight w:val="none"/>
                <w:u w:val="none"/>
                <w:lang w:val="en-US" w:eastAsia="zh-CN" w:bidi="ar-SA"/>
              </w:rPr>
            </w:pPr>
            <w:r>
              <w:rPr>
                <w:rFonts w:hint="eastAsia" w:ascii="宋体" w:hAnsi="宋体" w:eastAsia="宋体" w:cs="宋体"/>
                <w:b/>
                <w:bCs/>
                <w:i w:val="0"/>
                <w:color w:val="000000"/>
                <w:sz w:val="21"/>
                <w:szCs w:val="21"/>
                <w:highlight w:val="none"/>
                <w:u w:val="none"/>
                <w:lang w:val="en-US" w:eastAsia="zh-CN"/>
              </w:rPr>
              <w:t>2412.85</w:t>
            </w:r>
          </w:p>
        </w:tc>
        <w:tc>
          <w:tcPr>
            <w:tcW w:w="125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320" w:lineRule="exact"/>
              <w:ind w:left="0" w:leftChars="0"/>
              <w:jc w:val="center"/>
              <w:textAlignment w:val="center"/>
              <w:rPr>
                <w:rFonts w:hint="eastAsia" w:ascii="宋体" w:hAnsi="宋体" w:eastAsia="宋体" w:cs="宋体"/>
                <w:b/>
                <w:bCs/>
                <w:i w:val="0"/>
                <w:color w:val="000000"/>
                <w:kern w:val="2"/>
                <w:sz w:val="21"/>
                <w:szCs w:val="21"/>
                <w:highlight w:val="none"/>
                <w:u w:val="none"/>
                <w:lang w:val="en-US" w:eastAsia="zh-CN" w:bidi="ar-SA"/>
              </w:rPr>
            </w:pPr>
            <w:r>
              <w:rPr>
                <w:rFonts w:hint="eastAsia" w:ascii="宋体" w:hAnsi="宋体" w:eastAsia="宋体" w:cs="宋体"/>
                <w:b/>
                <w:bCs/>
                <w:i w:val="0"/>
                <w:color w:val="000000"/>
                <w:sz w:val="21"/>
                <w:szCs w:val="21"/>
                <w:highlight w:val="none"/>
                <w:u w:val="none"/>
                <w:lang w:val="en-US" w:eastAsia="zh-CN"/>
              </w:rPr>
              <w:t>1414</w:t>
            </w:r>
          </w:p>
        </w:tc>
        <w:tc>
          <w:tcPr>
            <w:tcW w:w="154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320" w:lineRule="exact"/>
              <w:ind w:left="0" w:leftChars="0"/>
              <w:jc w:val="center"/>
              <w:textAlignment w:val="center"/>
              <w:rPr>
                <w:rFonts w:hint="eastAsia" w:ascii="宋体" w:hAnsi="宋体" w:eastAsia="宋体" w:cs="宋体"/>
                <w:b w:val="0"/>
                <w:bCs w:val="0"/>
                <w:sz w:val="21"/>
                <w:szCs w:val="21"/>
                <w:highlight w:val="none"/>
                <w:lang w:val="en-US" w:eastAsia="zh-CN"/>
              </w:rPr>
            </w:pPr>
          </w:p>
        </w:tc>
        <w:tc>
          <w:tcPr>
            <w:tcW w:w="32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shd w:val="clear"/>
              <w:kinsoku/>
              <w:wordWrap/>
              <w:overflowPunct/>
              <w:topLinePunct w:val="0"/>
              <w:autoSpaceDE/>
              <w:autoSpaceDN/>
              <w:bidi w:val="0"/>
              <w:adjustRightInd/>
              <w:snapToGrid/>
              <w:spacing w:line="320" w:lineRule="exact"/>
              <w:ind w:left="0" w:leftChars="0"/>
              <w:jc w:val="both"/>
              <w:textAlignment w:val="center"/>
              <w:rPr>
                <w:rFonts w:hint="default" w:ascii="宋体" w:hAnsi="宋体" w:eastAsia="宋体" w:cs="宋体"/>
                <w:b w:val="0"/>
                <w:bCs w:val="0"/>
                <w:i w:val="0"/>
                <w:color w:val="000000"/>
                <w:kern w:val="0"/>
                <w:sz w:val="21"/>
                <w:szCs w:val="21"/>
                <w:highlight w:val="none"/>
                <w:u w:val="none"/>
                <w:lang w:val="en-US" w:eastAsia="zh-CN" w:bidi="ar"/>
              </w:rPr>
            </w:pPr>
            <w:r>
              <w:rPr>
                <w:rFonts w:hint="eastAsia" w:ascii="宋体" w:hAnsi="宋体" w:eastAsia="宋体" w:cs="宋体"/>
                <w:b w:val="0"/>
                <w:bCs w:val="0"/>
                <w:i w:val="0"/>
                <w:color w:val="000000"/>
                <w:kern w:val="0"/>
                <w:sz w:val="21"/>
                <w:szCs w:val="21"/>
                <w:highlight w:val="none"/>
                <w:u w:val="none"/>
                <w:lang w:val="en-US" w:eastAsia="zh-CN" w:bidi="ar"/>
              </w:rPr>
              <w:t>在此仅列示专项债券资金支出1414万元，超过部分由地方财政资金补足。</w:t>
            </w:r>
          </w:p>
        </w:tc>
      </w:tr>
    </w:tbl>
    <w:p>
      <w:pPr>
        <w:keepNext w:val="0"/>
        <w:keepLines w:val="0"/>
        <w:pageBreakBefore w:val="0"/>
        <w:widowControl w:val="0"/>
        <w:shd w:val="clear"/>
        <w:kinsoku/>
        <w:wordWrap/>
        <w:overflowPunct/>
        <w:topLinePunct w:val="0"/>
        <w:autoSpaceDE/>
        <w:autoSpaceDN/>
        <w:bidi w:val="0"/>
        <w:adjustRightInd/>
        <w:snapToGrid/>
        <w:spacing w:line="360" w:lineRule="auto"/>
        <w:ind w:left="0" w:leftChars="0" w:firstLine="640" w:firstLineChars="200"/>
        <w:textAlignment w:val="auto"/>
        <w:outlineLvl w:val="2"/>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结合上述专项债券资金收支情况，茶元头乡污水截流项目债券资金1414万元已全部到位，已使用1414万元，结余0元。</w:t>
      </w:r>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firstLine="643" w:firstLineChars="200"/>
        <w:textAlignment w:val="auto"/>
        <w:outlineLvl w:val="2"/>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val="en-US" w:eastAsia="zh-CN"/>
        </w:rPr>
        <w:t>（3）</w:t>
      </w:r>
      <w:r>
        <w:rPr>
          <w:rFonts w:hint="eastAsia" w:ascii="仿宋" w:hAnsi="仿宋" w:eastAsia="仿宋" w:cs="仿宋"/>
          <w:b/>
          <w:bCs/>
          <w:sz w:val="32"/>
          <w:szCs w:val="32"/>
          <w:highlight w:val="none"/>
          <w:lang w:eastAsia="zh-CN"/>
        </w:rPr>
        <w:t>资金</w:t>
      </w:r>
      <w:r>
        <w:rPr>
          <w:rFonts w:hint="eastAsia" w:ascii="仿宋" w:hAnsi="仿宋" w:eastAsia="仿宋" w:cs="仿宋"/>
          <w:b/>
          <w:bCs/>
          <w:sz w:val="32"/>
          <w:szCs w:val="32"/>
          <w:highlight w:val="none"/>
        </w:rPr>
        <w:t>管理情况</w:t>
      </w:r>
      <w:bookmarkEnd w:id="7"/>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b/>
          <w:bCs/>
          <w:sz w:val="32"/>
          <w:szCs w:val="32"/>
          <w:highlight w:val="red"/>
          <w:lang w:val="en-US" w:eastAsia="zh-CN"/>
        </w:rPr>
      </w:pPr>
      <w:bookmarkStart w:id="8" w:name="_Toc16773"/>
      <w:r>
        <w:rPr>
          <w:rFonts w:hint="eastAsia" w:ascii="仿宋" w:hAnsi="仿宋" w:eastAsia="仿宋" w:cs="仿宋"/>
          <w:kern w:val="2"/>
          <w:sz w:val="32"/>
          <w:szCs w:val="32"/>
          <w:highlight w:val="none"/>
          <w:lang w:val="en-US" w:eastAsia="zh-CN" w:bidi="ar-SA"/>
        </w:rPr>
        <w:t>为规范专项债券资金的使用和管理，市公用事业基础设施建设公司均按照《邵阳市公用事业局财务管理制度》和《邵阳市城管局财务会计内部控制制度》执行，每笔资金支出都经过严格审批，并</w:t>
      </w:r>
      <w:r>
        <w:rPr>
          <w:rFonts w:hint="eastAsia" w:ascii="仿宋_GB2312" w:hAnsi="仿宋_GB2312" w:eastAsia="仿宋_GB2312" w:cs="仿宋_GB2312"/>
          <w:sz w:val="32"/>
          <w:szCs w:val="32"/>
          <w:highlight w:val="none"/>
          <w:lang w:eastAsia="zh-CN"/>
        </w:rPr>
        <w:t>定期向财政部门报送了</w:t>
      </w:r>
      <w:r>
        <w:rPr>
          <w:rFonts w:hint="eastAsia" w:ascii="仿宋" w:hAnsi="仿宋" w:eastAsia="仿宋" w:cs="仿宋"/>
          <w:b w:val="0"/>
          <w:bCs w:val="0"/>
          <w:sz w:val="32"/>
          <w:szCs w:val="32"/>
          <w:highlight w:val="none"/>
          <w:lang w:val="en-US" w:eastAsia="zh-CN"/>
        </w:rPr>
        <w:t>2019年政府专项债券发行使用情况表，对债券资金使用、结余等情况进行汇报。</w:t>
      </w:r>
      <w:r>
        <w:rPr>
          <w:rFonts w:hint="eastAsia" w:ascii="仿宋_GB2312" w:hAnsi="仿宋_GB2312" w:eastAsia="仿宋_GB2312" w:cs="仿宋_GB2312"/>
          <w:sz w:val="32"/>
          <w:szCs w:val="32"/>
          <w:highlight w:val="none"/>
          <w:lang w:eastAsia="zh-CN"/>
        </w:rPr>
        <w:t>公司虽制定了财务管理制度，但未专门制定债务风控机制及风险防控措施。</w:t>
      </w:r>
    </w:p>
    <w:p>
      <w:pPr>
        <w:pStyle w:val="12"/>
        <w:keepNext w:val="0"/>
        <w:keepLines w:val="0"/>
        <w:pageBreakBefore w:val="0"/>
        <w:widowControl w:val="0"/>
        <w:shd w:val="clear"/>
        <w:kinsoku/>
        <w:wordWrap/>
        <w:overflowPunct/>
        <w:topLinePunct w:val="0"/>
        <w:autoSpaceDE/>
        <w:autoSpaceDN/>
        <w:bidi w:val="0"/>
        <w:adjustRightInd/>
        <w:snapToGrid/>
        <w:spacing w:beforeLines="0" w:afterLines="0" w:line="360" w:lineRule="auto"/>
        <w:ind w:left="0" w:leftChars="0" w:firstLine="643" w:firstLineChars="200"/>
        <w:textAlignment w:val="auto"/>
        <w:outlineLvl w:val="2"/>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5.项目组织实施情况</w:t>
      </w:r>
    </w:p>
    <w:p>
      <w:pPr>
        <w:pStyle w:val="12"/>
        <w:keepNext w:val="0"/>
        <w:keepLines w:val="0"/>
        <w:pageBreakBefore w:val="0"/>
        <w:widowControl w:val="0"/>
        <w:shd w:val="clear"/>
        <w:kinsoku/>
        <w:wordWrap/>
        <w:overflowPunct/>
        <w:topLinePunct w:val="0"/>
        <w:autoSpaceDE/>
        <w:autoSpaceDN/>
        <w:bidi w:val="0"/>
        <w:adjustRightInd/>
        <w:snapToGrid/>
        <w:spacing w:beforeLines="0" w:afterLines="0" w:line="360" w:lineRule="auto"/>
        <w:ind w:left="0" w:leftChars="0" w:firstLine="643" w:firstLineChars="200"/>
        <w:textAlignment w:val="auto"/>
        <w:outlineLvl w:val="2"/>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（1）工程招标：</w:t>
      </w:r>
      <w:r>
        <w:rPr>
          <w:rFonts w:hint="eastAsia" w:ascii="仿宋" w:hAnsi="仿宋" w:eastAsia="仿宋" w:cs="仿宋"/>
          <w:sz w:val="32"/>
          <w:szCs w:val="32"/>
          <w:highlight w:val="none"/>
          <w:lang w:val="en-US" w:eastAsia="zh-CN"/>
        </w:rPr>
        <w:t>2018年9月25日</w:t>
      </w:r>
      <w:r>
        <w:rPr>
          <w:rFonts w:hint="eastAsia" w:ascii="仿宋" w:hAnsi="仿宋" w:eastAsia="仿宋" w:cs="仿宋"/>
          <w:kern w:val="2"/>
          <w:sz w:val="32"/>
          <w:szCs w:val="32"/>
          <w:highlight w:val="none"/>
          <w:lang w:val="en-US" w:eastAsia="zh-CN" w:bidi="ar-SA"/>
        </w:rPr>
        <w:t>市公用事业基础设施建设公司</w:t>
      </w:r>
      <w:r>
        <w:rPr>
          <w:rFonts w:hint="eastAsia" w:ascii="仿宋" w:hAnsi="仿宋" w:eastAsia="仿宋" w:cs="仿宋"/>
          <w:sz w:val="32"/>
          <w:szCs w:val="32"/>
          <w:highlight w:val="none"/>
          <w:lang w:val="en-US" w:eastAsia="zh-CN"/>
        </w:rPr>
        <w:t>对</w:t>
      </w:r>
      <w:r>
        <w:rPr>
          <w:rFonts w:hint="eastAsia" w:ascii="仿宋" w:hAnsi="仿宋" w:eastAsia="仿宋" w:cs="仿宋"/>
          <w:kern w:val="2"/>
          <w:sz w:val="32"/>
          <w:szCs w:val="32"/>
          <w:highlight w:val="none"/>
          <w:lang w:val="en-US" w:eastAsia="zh-CN" w:bidi="ar-SA"/>
        </w:rPr>
        <w:t>茶元头乡污水截流工程项目采取公开招投标方式，由湖南望新建设集团股份有限公司中标并签订施工合同，</w:t>
      </w:r>
      <w:r>
        <w:rPr>
          <w:rFonts w:hint="eastAsia" w:ascii="仿宋" w:hAnsi="仿宋" w:eastAsia="仿宋" w:cs="仿宋"/>
          <w:sz w:val="32"/>
          <w:szCs w:val="32"/>
          <w:highlight w:val="none"/>
          <w:lang w:val="en-US" w:eastAsia="zh-CN"/>
        </w:rPr>
        <w:t>合同</w:t>
      </w:r>
      <w:r>
        <w:rPr>
          <w:rFonts w:hint="eastAsia" w:ascii="仿宋" w:hAnsi="仿宋" w:eastAsia="仿宋" w:cs="仿宋"/>
          <w:kern w:val="2"/>
          <w:sz w:val="32"/>
          <w:szCs w:val="32"/>
          <w:highlight w:val="none"/>
          <w:lang w:val="en-US" w:eastAsia="zh-CN" w:bidi="ar-SA"/>
        </w:rPr>
        <w:t>明确工程规模、建设标准、建设工期、支付方式、双方责任和义务等内容</w:t>
      </w:r>
      <w:r>
        <w:rPr>
          <w:rFonts w:hint="eastAsia" w:ascii="仿宋" w:hAnsi="仿宋" w:eastAsia="仿宋" w:cs="仿宋"/>
          <w:sz w:val="32"/>
          <w:szCs w:val="32"/>
          <w:highlight w:val="none"/>
          <w:lang w:val="en-US" w:eastAsia="zh-CN"/>
        </w:rPr>
        <w:t>。</w:t>
      </w:r>
      <w:r>
        <w:rPr>
          <w:rFonts w:hint="eastAsia" w:ascii="仿宋" w:hAnsi="仿宋" w:eastAsia="仿宋" w:cs="仿宋"/>
          <w:spacing w:val="-8"/>
          <w:sz w:val="32"/>
          <w:szCs w:val="32"/>
          <w:highlight w:val="none"/>
          <w:lang w:val="en-US" w:eastAsia="zh-CN"/>
        </w:rPr>
        <w:t>对监理服务采用邀请招标等方式，与</w:t>
      </w:r>
      <w:r>
        <w:rPr>
          <w:rFonts w:hint="eastAsia" w:ascii="仿宋" w:hAnsi="仿宋" w:eastAsia="仿宋" w:cs="仿宋"/>
          <w:kern w:val="2"/>
          <w:sz w:val="32"/>
          <w:szCs w:val="32"/>
          <w:highlight w:val="none"/>
          <w:lang w:val="en-US" w:eastAsia="zh-CN" w:bidi="ar-SA"/>
        </w:rPr>
        <w:t>邵阳市中信工程建设监理有限公司</w:t>
      </w:r>
      <w:r>
        <w:rPr>
          <w:rFonts w:hint="eastAsia" w:ascii="仿宋" w:hAnsi="仿宋" w:eastAsia="仿宋" w:cs="仿宋"/>
          <w:spacing w:val="-8"/>
          <w:sz w:val="32"/>
          <w:szCs w:val="32"/>
          <w:highlight w:val="none"/>
          <w:lang w:val="en-US" w:eastAsia="zh-CN"/>
        </w:rPr>
        <w:t>签定了工程监理合同。</w:t>
      </w:r>
    </w:p>
    <w:p>
      <w:pPr>
        <w:pStyle w:val="12"/>
        <w:keepNext w:val="0"/>
        <w:keepLines w:val="0"/>
        <w:pageBreakBefore w:val="0"/>
        <w:widowControl w:val="0"/>
        <w:shd w:val="clear"/>
        <w:kinsoku/>
        <w:wordWrap/>
        <w:overflowPunct/>
        <w:topLinePunct w:val="0"/>
        <w:autoSpaceDE/>
        <w:autoSpaceDN/>
        <w:bidi w:val="0"/>
        <w:adjustRightInd/>
        <w:snapToGrid/>
        <w:spacing w:beforeLines="0" w:afterLines="0" w:line="360" w:lineRule="auto"/>
        <w:ind w:left="0" w:leftChars="0" w:firstLine="611" w:firstLineChars="200"/>
        <w:textAlignment w:val="auto"/>
        <w:outlineLvl w:val="2"/>
        <w:rPr>
          <w:rFonts w:hint="eastAsia" w:ascii="仿宋" w:hAnsi="仿宋" w:eastAsia="仿宋" w:cs="仿宋"/>
          <w:b w:val="0"/>
          <w:bCs w:val="0"/>
          <w:sz w:val="32"/>
          <w:szCs w:val="32"/>
          <w:highlight w:val="none"/>
          <w:lang w:val="en-US" w:eastAsia="zh-CN"/>
        </w:rPr>
      </w:pPr>
      <w:r>
        <w:rPr>
          <w:rFonts w:hint="eastAsia" w:ascii="仿宋" w:hAnsi="仿宋" w:eastAsia="仿宋" w:cs="仿宋"/>
          <w:b/>
          <w:bCs/>
          <w:spacing w:val="-8"/>
          <w:sz w:val="32"/>
          <w:szCs w:val="32"/>
          <w:highlight w:val="none"/>
          <w:lang w:val="en-US" w:eastAsia="zh-CN"/>
        </w:rPr>
        <w:t>（2）工程建设和监督方面：</w:t>
      </w:r>
      <w:r>
        <w:rPr>
          <w:rFonts w:hint="eastAsia" w:ascii="仿宋" w:hAnsi="仿宋" w:eastAsia="仿宋" w:cs="仿宋"/>
          <w:kern w:val="2"/>
          <w:sz w:val="32"/>
          <w:szCs w:val="32"/>
          <w:highlight w:val="none"/>
          <w:lang w:val="en-US" w:eastAsia="zh-CN" w:bidi="ar-SA"/>
        </w:rPr>
        <w:t>施工方按合同书约定的建设内容和质量标准进行施工，市公用事业基础设施建设公司</w:t>
      </w:r>
      <w:r>
        <w:rPr>
          <w:rFonts w:hint="eastAsia" w:ascii="仿宋" w:hAnsi="仿宋" w:eastAsia="仿宋" w:cs="仿宋"/>
          <w:sz w:val="32"/>
          <w:szCs w:val="32"/>
          <w:highlight w:val="none"/>
          <w:lang w:val="en-US" w:eastAsia="zh-CN"/>
        </w:rPr>
        <w:t>派现场人员</w:t>
      </w:r>
      <w:r>
        <w:rPr>
          <w:rFonts w:hint="eastAsia" w:ascii="仿宋" w:hAnsi="仿宋" w:eastAsia="仿宋" w:cs="仿宋"/>
          <w:sz w:val="32"/>
          <w:szCs w:val="32"/>
          <w:highlight w:val="none"/>
          <w:lang w:eastAsia="zh-CN"/>
        </w:rPr>
        <w:t>检查项目施工单位、监理人员是否与合同、与投标文件要求相符，不定期检查监理日志等监理资料，检查项目安全生产工作，对检查中存在的问题提出整改意见。</w:t>
      </w:r>
    </w:p>
    <w:p>
      <w:pPr>
        <w:pStyle w:val="12"/>
        <w:keepNext w:val="0"/>
        <w:keepLines w:val="0"/>
        <w:pageBreakBefore w:val="0"/>
        <w:widowControl w:val="0"/>
        <w:shd w:val="clear"/>
        <w:kinsoku/>
        <w:wordWrap/>
        <w:overflowPunct/>
        <w:topLinePunct w:val="0"/>
        <w:autoSpaceDE/>
        <w:autoSpaceDN/>
        <w:bidi w:val="0"/>
        <w:adjustRightInd/>
        <w:snapToGrid/>
        <w:spacing w:beforeLines="0" w:afterLines="0" w:line="360" w:lineRule="auto"/>
        <w:ind w:left="0" w:leftChars="0" w:firstLine="643" w:firstLineChars="200"/>
        <w:textAlignment w:val="auto"/>
        <w:outlineLvl w:val="2"/>
        <w:rPr>
          <w:rFonts w:hint="default" w:ascii="仿宋" w:hAnsi="仿宋" w:eastAsia="仿宋" w:cs="仿宋"/>
          <w:sz w:val="32"/>
          <w:szCs w:val="32"/>
          <w:highlight w:val="none"/>
          <w:lang w:val="en-US" w:eastAsia="zh-CN"/>
        </w:rPr>
      </w:pPr>
      <w:r>
        <w:rPr>
          <w:rFonts w:hint="eastAsia" w:ascii="仿宋" w:hAnsi="仿宋" w:eastAsia="仿宋" w:cs="仿宋"/>
          <w:b/>
          <w:bCs/>
          <w:sz w:val="32"/>
          <w:szCs w:val="32"/>
          <w:highlight w:val="none"/>
          <w:lang w:val="en-US" w:eastAsia="zh-CN"/>
        </w:rPr>
        <w:t>（3）</w:t>
      </w:r>
      <w:r>
        <w:rPr>
          <w:rFonts w:hint="eastAsia" w:ascii="仿宋" w:hAnsi="仿宋" w:eastAsia="仿宋" w:cs="仿宋"/>
          <w:b/>
          <w:bCs/>
          <w:spacing w:val="-8"/>
          <w:sz w:val="32"/>
          <w:szCs w:val="32"/>
          <w:highlight w:val="none"/>
          <w:lang w:eastAsia="zh-CN"/>
        </w:rPr>
        <w:t>竣工</w:t>
      </w:r>
      <w:r>
        <w:rPr>
          <w:rFonts w:hint="eastAsia" w:ascii="仿宋" w:hAnsi="仿宋" w:eastAsia="仿宋" w:cs="仿宋"/>
          <w:b/>
          <w:bCs/>
          <w:spacing w:val="-8"/>
          <w:sz w:val="32"/>
          <w:szCs w:val="32"/>
          <w:highlight w:val="none"/>
        </w:rPr>
        <w:t>验收</w:t>
      </w:r>
      <w:bookmarkEnd w:id="8"/>
      <w:r>
        <w:rPr>
          <w:rFonts w:hint="eastAsia" w:ascii="仿宋" w:hAnsi="仿宋" w:eastAsia="仿宋" w:cs="仿宋"/>
          <w:b/>
          <w:bCs/>
          <w:spacing w:val="-8"/>
          <w:sz w:val="32"/>
          <w:szCs w:val="32"/>
          <w:highlight w:val="none"/>
          <w:lang w:eastAsia="zh-CN"/>
        </w:rPr>
        <w:t>方面：</w:t>
      </w:r>
      <w:r>
        <w:rPr>
          <w:rFonts w:hint="eastAsia" w:ascii="仿宋" w:hAnsi="仿宋" w:eastAsia="仿宋" w:cs="仿宋"/>
          <w:b w:val="0"/>
          <w:bCs w:val="0"/>
          <w:spacing w:val="-8"/>
          <w:sz w:val="32"/>
          <w:szCs w:val="32"/>
          <w:highlight w:val="none"/>
          <w:lang w:val="en-US" w:eastAsia="zh-CN"/>
        </w:rPr>
        <w:t>2020年4月28日，邵阳市城市管理和综合执法局在该局十楼会议室召开了市茶元头乡污水截流工程竣工验收会议，参加会议的有邵阳市城市管理和综合执法局、市公用事业基础设施建设有限公司、市城建档案馆、市排水管理所、邵阳市规划设计研究院、湖南金鼎建筑设计研究院、邵阳市中信工程建设监理有限公司、湖南望</w:t>
      </w:r>
      <w:r>
        <w:rPr>
          <w:rFonts w:hint="eastAsia" w:ascii="仿宋" w:hAnsi="仿宋" w:eastAsia="仿宋" w:cs="仿宋"/>
          <w:kern w:val="2"/>
          <w:sz w:val="32"/>
          <w:szCs w:val="32"/>
          <w:highlight w:val="none"/>
          <w:lang w:val="en-US" w:eastAsia="zh-CN" w:bidi="ar-SA"/>
        </w:rPr>
        <w:t>建设集团股份有限公司等有关单位负责人及技术人员，对项目进行了竣工验收。竣工验收委员会一致同意通过该工程竣工验收，工程质量</w:t>
      </w:r>
      <w:r>
        <w:rPr>
          <w:rFonts w:hint="eastAsia" w:ascii="仿宋" w:hAnsi="仿宋" w:eastAsia="仿宋" w:cs="仿宋"/>
          <w:sz w:val="32"/>
          <w:szCs w:val="32"/>
          <w:highlight w:val="none"/>
          <w:lang w:val="en-US" w:eastAsia="zh-CN"/>
        </w:rPr>
        <w:t>评定为合格。</w:t>
      </w:r>
    </w:p>
    <w:p>
      <w:pPr>
        <w:pStyle w:val="2"/>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firstLine="643" w:firstLineChars="200"/>
        <w:textAlignment w:val="auto"/>
        <w:outlineLvl w:val="1"/>
        <w:rPr>
          <w:rFonts w:hint="eastAsia" w:ascii="楷体" w:hAnsi="楷体" w:eastAsia="楷体" w:cs="楷体"/>
          <w:b/>
          <w:bCs/>
          <w:kern w:val="2"/>
          <w:sz w:val="32"/>
          <w:szCs w:val="32"/>
          <w:highlight w:val="none"/>
          <w:lang w:val="en-US" w:eastAsia="zh-CN" w:bidi="ar-SA"/>
        </w:rPr>
      </w:pPr>
      <w:bookmarkStart w:id="9" w:name="_Toc28157"/>
      <w:r>
        <w:rPr>
          <w:rFonts w:hint="eastAsia" w:ascii="楷体" w:hAnsi="楷体" w:eastAsia="楷体" w:cs="楷体"/>
          <w:b/>
          <w:bCs/>
          <w:kern w:val="2"/>
          <w:sz w:val="32"/>
          <w:szCs w:val="32"/>
          <w:highlight w:val="none"/>
          <w:lang w:val="en-US" w:eastAsia="zh-CN" w:bidi="ar-SA"/>
        </w:rPr>
        <w:t>（三）专项资金预算绩效目标完成情况</w:t>
      </w:r>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项目未申报具体的绩效目标，根据可研报告、立项批复、施工合同等资料归纳的绩效目标主要完成情况如下：</w:t>
      </w:r>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firstLine="643"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b/>
          <w:bCs/>
          <w:sz w:val="32"/>
          <w:szCs w:val="32"/>
          <w:highlight w:val="none"/>
          <w:lang w:val="en-US" w:eastAsia="zh-CN"/>
        </w:rPr>
        <w:t>1.产出数量：</w:t>
      </w:r>
      <w:r>
        <w:rPr>
          <w:rFonts w:hint="eastAsia" w:ascii="仿宋_GB2312" w:hAnsi="仿宋" w:eastAsia="仿宋_GB2312" w:cs="仿宋"/>
          <w:b w:val="0"/>
          <w:bCs w:val="0"/>
          <w:sz w:val="32"/>
          <w:szCs w:val="32"/>
          <w:highlight w:val="none"/>
          <w:lang w:val="en-US" w:eastAsia="zh-CN"/>
        </w:rPr>
        <w:t>新建污水提升泵站一座（规模6000立方米）；新建0.89公里污水压力管道（320国道-宝庆西路）；新建1.8公里污水重力管（邵阳监狱西侧及乡政府及卫生院周边）；新建1.1公里污水重力管（邵阳监狱西侧向西至木材市场）；新建箱涵0.3公里</w:t>
      </w:r>
      <w:r>
        <w:rPr>
          <w:rFonts w:hint="eastAsia" w:ascii="仿宋" w:hAnsi="仿宋" w:eastAsia="仿宋" w:cs="仿宋"/>
          <w:sz w:val="32"/>
          <w:szCs w:val="32"/>
          <w:highlight w:val="none"/>
          <w:lang w:val="en-US" w:eastAsia="zh-CN"/>
        </w:rPr>
        <w:t>。</w:t>
      </w:r>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firstLine="643"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b/>
          <w:bCs/>
          <w:sz w:val="32"/>
          <w:szCs w:val="32"/>
          <w:highlight w:val="none"/>
          <w:lang w:val="en-US" w:eastAsia="zh-CN"/>
        </w:rPr>
        <w:t>2.产出质量：</w:t>
      </w:r>
      <w:r>
        <w:rPr>
          <w:rFonts w:hint="eastAsia" w:ascii="仿宋" w:hAnsi="仿宋" w:eastAsia="仿宋" w:cs="仿宋"/>
          <w:sz w:val="32"/>
          <w:szCs w:val="32"/>
          <w:highlight w:val="none"/>
          <w:lang w:val="en-US" w:eastAsia="zh-CN"/>
        </w:rPr>
        <w:t>工程质量达到合格标准，质量验收达标率100%。</w:t>
      </w:r>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firstLine="643" w:firstLineChars="200"/>
        <w:textAlignment w:val="auto"/>
        <w:rPr>
          <w:rFonts w:hint="eastAsia" w:ascii="仿宋" w:hAnsi="仿宋" w:eastAsia="仿宋" w:cs="仿宋"/>
          <w:b w:val="0"/>
          <w:bCs w:val="0"/>
          <w:sz w:val="32"/>
          <w:szCs w:val="32"/>
          <w:highlight w:val="none"/>
          <w:lang w:val="en-US" w:eastAsia="zh-CN"/>
        </w:rPr>
      </w:pPr>
      <w:r>
        <w:rPr>
          <w:rFonts w:hint="eastAsia" w:ascii="仿宋" w:hAnsi="仿宋" w:eastAsia="仿宋" w:cs="仿宋"/>
          <w:b/>
          <w:bCs/>
          <w:sz w:val="32"/>
          <w:szCs w:val="32"/>
          <w:highlight w:val="none"/>
          <w:lang w:val="en-US" w:eastAsia="zh-CN"/>
        </w:rPr>
        <w:t>3.产出成本：</w:t>
      </w:r>
      <w:r>
        <w:rPr>
          <w:rFonts w:hint="eastAsia" w:ascii="仿宋" w:hAnsi="仿宋" w:eastAsia="仿宋" w:cs="仿宋"/>
          <w:b w:val="0"/>
          <w:bCs w:val="0"/>
          <w:sz w:val="32"/>
          <w:szCs w:val="32"/>
          <w:highlight w:val="none"/>
          <w:lang w:val="en-US" w:eastAsia="zh-CN"/>
        </w:rPr>
        <w:t>该项目中标施工合同签订金额2358.05万元，经市审计局审核后该工程结算金额2807.67万元，超过中标合同金额449.62万元，结合项目工程实际建设成本情况分析计算，该项目产出建设成本节约率为-19.1%。</w:t>
      </w:r>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firstLine="643"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b/>
          <w:bCs/>
          <w:sz w:val="32"/>
          <w:szCs w:val="32"/>
          <w:highlight w:val="none"/>
          <w:lang w:val="en-US" w:eastAsia="zh-CN"/>
        </w:rPr>
        <w:t>4.产出时效：</w:t>
      </w:r>
      <w:r>
        <w:rPr>
          <w:rFonts w:hint="eastAsia" w:ascii="仿宋" w:hAnsi="仿宋" w:eastAsia="仿宋" w:cs="仿宋"/>
          <w:b w:val="0"/>
          <w:bCs w:val="0"/>
          <w:sz w:val="32"/>
          <w:szCs w:val="32"/>
          <w:highlight w:val="none"/>
          <w:lang w:val="en-US" w:eastAsia="zh-CN"/>
        </w:rPr>
        <w:t>工程于2018年11月26日正式动工，2020年3月底完工，合同约定完工时间为2019年2月15日，已超出合同约定完工时间1年以上。</w:t>
      </w:r>
    </w:p>
    <w:p>
      <w:pPr>
        <w:keepNext w:val="0"/>
        <w:keepLines w:val="0"/>
        <w:pageBreakBefore w:val="0"/>
        <w:widowControl w:val="0"/>
        <w:shd w:val="clear"/>
        <w:kinsoku/>
        <w:wordWrap/>
        <w:overflowPunct/>
        <w:topLinePunct w:val="0"/>
        <w:autoSpaceDE/>
        <w:autoSpaceDN/>
        <w:bidi w:val="0"/>
        <w:adjustRightInd/>
        <w:snapToGrid/>
        <w:spacing w:line="360" w:lineRule="auto"/>
        <w:ind w:left="0" w:firstLine="643" w:firstLineChars="200"/>
        <w:jc w:val="both"/>
        <w:textAlignment w:val="auto"/>
        <w:rPr>
          <w:rFonts w:hint="eastAsia" w:ascii="仿宋" w:hAnsi="仿宋" w:eastAsia="仿宋" w:cs="仿宋"/>
          <w:kern w:val="2"/>
          <w:sz w:val="32"/>
          <w:szCs w:val="32"/>
          <w:highlight w:val="yellow"/>
          <w:lang w:val="en-US" w:eastAsia="zh-CN" w:bidi="ar-SA"/>
        </w:rPr>
      </w:pPr>
      <w:r>
        <w:rPr>
          <w:rFonts w:hint="eastAsia" w:ascii="仿宋" w:hAnsi="仿宋" w:eastAsia="仿宋" w:cs="仿宋"/>
          <w:b/>
          <w:bCs/>
          <w:kern w:val="2"/>
          <w:sz w:val="32"/>
          <w:szCs w:val="32"/>
          <w:highlight w:val="none"/>
          <w:lang w:val="en-US" w:eastAsia="zh-CN" w:bidi="ar-SA"/>
        </w:rPr>
        <w:t>5.经济效益：</w:t>
      </w:r>
      <w:r>
        <w:rPr>
          <w:rFonts w:hint="eastAsia" w:ascii="仿宋" w:hAnsi="仿宋" w:eastAsia="仿宋" w:cs="仿宋"/>
          <w:b w:val="0"/>
          <w:bCs w:val="0"/>
          <w:kern w:val="2"/>
          <w:sz w:val="32"/>
          <w:szCs w:val="32"/>
          <w:highlight w:val="none"/>
          <w:lang w:val="en-US" w:eastAsia="zh-CN" w:bidi="ar-SA"/>
        </w:rPr>
        <w:t>改善周边人居环境、减少因水污染而造成的经济损失</w:t>
      </w:r>
      <w:r>
        <w:rPr>
          <w:rFonts w:hint="eastAsia" w:ascii="仿宋" w:hAnsi="仿宋" w:eastAsia="仿宋" w:cs="仿宋"/>
          <w:kern w:val="2"/>
          <w:sz w:val="32"/>
          <w:szCs w:val="32"/>
          <w:highlight w:val="none"/>
          <w:lang w:val="en-US" w:eastAsia="zh-CN" w:bidi="ar-SA"/>
        </w:rPr>
        <w:t>。</w:t>
      </w:r>
    </w:p>
    <w:p>
      <w:pPr>
        <w:keepNext w:val="0"/>
        <w:keepLines w:val="0"/>
        <w:pageBreakBefore w:val="0"/>
        <w:widowControl w:val="0"/>
        <w:shd w:val="clear"/>
        <w:kinsoku/>
        <w:wordWrap/>
        <w:overflowPunct/>
        <w:topLinePunct w:val="0"/>
        <w:autoSpaceDE/>
        <w:autoSpaceDN/>
        <w:bidi w:val="0"/>
        <w:adjustRightInd/>
        <w:snapToGrid/>
        <w:spacing w:line="360" w:lineRule="auto"/>
        <w:ind w:left="0" w:firstLine="643" w:firstLineChars="200"/>
        <w:jc w:val="both"/>
        <w:textAlignment w:val="auto"/>
        <w:rPr>
          <w:rFonts w:hint="eastAsia" w:ascii="仿宋" w:hAnsi="仿宋" w:eastAsia="仿宋" w:cs="仿宋"/>
          <w:kern w:val="2"/>
          <w:sz w:val="32"/>
          <w:szCs w:val="32"/>
          <w:highlight w:val="yellow"/>
          <w:lang w:val="en-US" w:eastAsia="zh-CN" w:bidi="ar-SA"/>
        </w:rPr>
      </w:pPr>
      <w:r>
        <w:rPr>
          <w:rFonts w:hint="eastAsia" w:ascii="仿宋" w:hAnsi="仿宋" w:eastAsia="仿宋" w:cs="仿宋"/>
          <w:b/>
          <w:bCs/>
          <w:kern w:val="2"/>
          <w:sz w:val="32"/>
          <w:szCs w:val="32"/>
          <w:highlight w:val="none"/>
          <w:lang w:val="en-US" w:eastAsia="zh-CN" w:bidi="ar-SA"/>
        </w:rPr>
        <w:t>6.社会效益：</w:t>
      </w:r>
      <w:r>
        <w:rPr>
          <w:rFonts w:hint="eastAsia" w:ascii="仿宋" w:hAnsi="仿宋" w:eastAsia="仿宋" w:cs="仿宋"/>
          <w:kern w:val="2"/>
          <w:sz w:val="32"/>
          <w:szCs w:val="32"/>
          <w:highlight w:val="none"/>
          <w:lang w:val="en-US" w:eastAsia="zh-CN" w:bidi="ar-SA"/>
        </w:rPr>
        <w:t>降低因渗透对地下水资源的污染，减少水污染对农业、渔业的影响以及因生活饮用水污染导致居民身体健康受到伤害，使人民更加安居乐业，促进社会安定团结。</w:t>
      </w:r>
    </w:p>
    <w:p>
      <w:pPr>
        <w:keepNext w:val="0"/>
        <w:keepLines w:val="0"/>
        <w:pageBreakBefore w:val="0"/>
        <w:widowControl w:val="0"/>
        <w:shd w:val="clear"/>
        <w:kinsoku/>
        <w:wordWrap/>
        <w:overflowPunct/>
        <w:topLinePunct w:val="0"/>
        <w:autoSpaceDE/>
        <w:autoSpaceDN/>
        <w:bidi w:val="0"/>
        <w:adjustRightInd/>
        <w:snapToGrid/>
        <w:spacing w:line="360" w:lineRule="auto"/>
        <w:ind w:left="0" w:firstLine="643" w:firstLineChars="200"/>
        <w:jc w:val="both"/>
        <w:textAlignment w:val="auto"/>
        <w:rPr>
          <w:rFonts w:hint="eastAsia" w:ascii="仿宋" w:hAnsi="仿宋" w:eastAsia="仿宋" w:cs="仿宋"/>
          <w:kern w:val="2"/>
          <w:sz w:val="32"/>
          <w:szCs w:val="32"/>
          <w:highlight w:val="none"/>
          <w:lang w:val="en-US" w:eastAsia="zh-CN" w:bidi="ar-SA"/>
        </w:rPr>
      </w:pPr>
      <w:r>
        <w:rPr>
          <w:rFonts w:hint="eastAsia" w:ascii="仿宋" w:hAnsi="仿宋" w:eastAsia="仿宋" w:cs="仿宋"/>
          <w:b/>
          <w:bCs/>
          <w:kern w:val="2"/>
          <w:sz w:val="32"/>
          <w:szCs w:val="32"/>
          <w:highlight w:val="none"/>
          <w:lang w:val="en-US" w:eastAsia="zh-CN" w:bidi="ar-SA"/>
        </w:rPr>
        <w:t>7.可持续影响：</w:t>
      </w:r>
      <w:r>
        <w:rPr>
          <w:rFonts w:hint="eastAsia" w:ascii="仿宋" w:hAnsi="仿宋" w:eastAsia="仿宋" w:cs="仿宋"/>
          <w:b w:val="0"/>
          <w:bCs w:val="0"/>
          <w:kern w:val="2"/>
          <w:sz w:val="32"/>
          <w:szCs w:val="32"/>
          <w:highlight w:val="none"/>
          <w:lang w:val="en-US" w:eastAsia="zh-CN" w:bidi="ar-SA"/>
        </w:rPr>
        <w:t>通过项目实施，解决流域内污水出路问题，污水经过处理达到标准后排放，改善了区域水环境和生态环境，为城市发展创造良好的投资环境，增加区域就业机会</w:t>
      </w:r>
      <w:r>
        <w:rPr>
          <w:rFonts w:hint="eastAsia" w:ascii="仿宋" w:hAnsi="仿宋" w:eastAsia="仿宋" w:cs="仿宋"/>
          <w:kern w:val="2"/>
          <w:sz w:val="32"/>
          <w:szCs w:val="32"/>
          <w:highlight w:val="none"/>
          <w:lang w:val="en-US" w:eastAsia="zh-CN" w:bidi="ar-SA"/>
        </w:rPr>
        <w:t>。</w:t>
      </w:r>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firstLine="643"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b/>
          <w:bCs/>
          <w:kern w:val="2"/>
          <w:sz w:val="32"/>
          <w:szCs w:val="32"/>
          <w:highlight w:val="none"/>
          <w:lang w:val="en-US" w:eastAsia="zh-CN" w:bidi="ar-SA"/>
        </w:rPr>
        <w:t>8.满意度：</w:t>
      </w:r>
      <w:r>
        <w:rPr>
          <w:rFonts w:hint="eastAsia" w:ascii="仿宋" w:hAnsi="仿宋" w:eastAsia="仿宋" w:cs="仿宋"/>
          <w:kern w:val="2"/>
          <w:sz w:val="32"/>
          <w:szCs w:val="32"/>
          <w:highlight w:val="none"/>
          <w:lang w:val="en-US" w:eastAsia="zh-CN" w:bidi="ar-SA"/>
        </w:rPr>
        <w:t>社会公众满意度94%以上。</w:t>
      </w:r>
      <w:bookmarkEnd w:id="9"/>
      <w:r>
        <w:rPr>
          <w:rFonts w:hint="eastAsia" w:ascii="仿宋" w:hAnsi="仿宋" w:eastAsia="仿宋" w:cs="仿宋"/>
          <w:sz w:val="32"/>
          <w:szCs w:val="32"/>
          <w:highlight w:val="none"/>
          <w:lang w:val="en-US" w:eastAsia="zh-CN"/>
        </w:rPr>
        <w:tab/>
      </w:r>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firstLine="640" w:firstLineChars="200"/>
        <w:textAlignment w:val="auto"/>
        <w:outlineLvl w:val="0"/>
        <w:rPr>
          <w:rFonts w:hint="eastAsia" w:ascii="黑体" w:hAnsi="黑体" w:eastAsia="黑体" w:cs="黑体"/>
          <w:kern w:val="0"/>
          <w:sz w:val="32"/>
          <w:szCs w:val="32"/>
          <w:highlight w:val="none"/>
        </w:rPr>
      </w:pPr>
      <w:bookmarkStart w:id="10" w:name="_Toc29252"/>
      <w:r>
        <w:rPr>
          <w:rFonts w:hint="eastAsia" w:ascii="黑体" w:hAnsi="黑体" w:eastAsia="黑体" w:cs="黑体"/>
          <w:kern w:val="0"/>
          <w:sz w:val="32"/>
          <w:szCs w:val="32"/>
          <w:highlight w:val="none"/>
          <w:lang w:eastAsia="zh-CN"/>
        </w:rPr>
        <w:t>二</w:t>
      </w:r>
      <w:r>
        <w:rPr>
          <w:rFonts w:hint="eastAsia" w:ascii="黑体" w:hAnsi="黑体" w:eastAsia="黑体" w:cs="黑体"/>
          <w:kern w:val="0"/>
          <w:sz w:val="32"/>
          <w:szCs w:val="32"/>
          <w:highlight w:val="none"/>
        </w:rPr>
        <w:t>、绩效评价工作情况</w:t>
      </w:r>
      <w:bookmarkEnd w:id="10"/>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firstLine="643" w:firstLineChars="200"/>
        <w:textAlignment w:val="auto"/>
        <w:outlineLvl w:val="1"/>
        <w:rPr>
          <w:rFonts w:hint="eastAsia" w:ascii="楷体" w:hAnsi="楷体" w:eastAsia="楷体" w:cs="楷体"/>
          <w:b/>
          <w:color w:val="000000"/>
          <w:sz w:val="32"/>
          <w:szCs w:val="32"/>
          <w:highlight w:val="none"/>
          <w:shd w:val="clear" w:color="auto" w:fill="FFFFFF"/>
          <w:lang w:eastAsia="zh-CN"/>
        </w:rPr>
      </w:pPr>
      <w:bookmarkStart w:id="11" w:name="_Toc30830"/>
      <w:r>
        <w:rPr>
          <w:rFonts w:hint="eastAsia" w:ascii="楷体" w:hAnsi="楷体" w:eastAsia="楷体" w:cs="楷体"/>
          <w:b/>
          <w:color w:val="000000"/>
          <w:sz w:val="32"/>
          <w:szCs w:val="32"/>
          <w:highlight w:val="none"/>
          <w:shd w:val="clear" w:color="auto" w:fill="FFFFFF"/>
          <w:lang w:eastAsia="zh-CN"/>
        </w:rPr>
        <w:t>（一）绩效评价目的</w:t>
      </w:r>
      <w:bookmarkEnd w:id="11"/>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color w:val="000000"/>
          <w:sz w:val="32"/>
          <w:szCs w:val="32"/>
          <w:highlight w:val="none"/>
          <w:shd w:val="clear" w:color="auto" w:fill="FFFFFF"/>
        </w:rPr>
      </w:pPr>
      <w:r>
        <w:rPr>
          <w:rFonts w:hint="eastAsia" w:ascii="仿宋" w:hAnsi="仿宋" w:eastAsia="仿宋" w:cs="仿宋"/>
          <w:color w:val="000000"/>
          <w:sz w:val="32"/>
          <w:szCs w:val="32"/>
          <w:highlight w:val="none"/>
          <w:shd w:val="clear" w:color="auto" w:fill="FFFFFF"/>
        </w:rPr>
        <w:t>通过全面了解项目的申报、审批、组织实施及</w:t>
      </w:r>
      <w:r>
        <w:rPr>
          <w:rFonts w:hint="eastAsia" w:ascii="仿宋" w:hAnsi="仿宋" w:eastAsia="仿宋" w:cs="仿宋"/>
          <w:color w:val="000000"/>
          <w:sz w:val="32"/>
          <w:szCs w:val="32"/>
          <w:highlight w:val="none"/>
          <w:shd w:val="clear" w:color="auto" w:fill="FFFFFF"/>
          <w:lang w:val="en-US" w:eastAsia="zh-CN"/>
        </w:rPr>
        <w:t>管理</w:t>
      </w:r>
      <w:r>
        <w:rPr>
          <w:rFonts w:hint="eastAsia" w:ascii="仿宋" w:hAnsi="仿宋" w:eastAsia="仿宋" w:cs="仿宋"/>
          <w:color w:val="000000"/>
          <w:sz w:val="32"/>
          <w:szCs w:val="32"/>
          <w:highlight w:val="none"/>
          <w:shd w:val="clear" w:color="auto" w:fill="FFFFFF"/>
        </w:rPr>
        <w:t>监督情况</w:t>
      </w:r>
      <w:r>
        <w:rPr>
          <w:rFonts w:hint="eastAsia" w:ascii="仿宋" w:hAnsi="仿宋" w:eastAsia="仿宋" w:cs="仿宋"/>
          <w:color w:val="000000"/>
          <w:sz w:val="32"/>
          <w:szCs w:val="32"/>
          <w:highlight w:val="none"/>
          <w:shd w:val="clear" w:color="auto" w:fill="FFFFFF"/>
          <w:lang w:eastAsia="zh-CN"/>
        </w:rPr>
        <w:t>，</w:t>
      </w:r>
      <w:r>
        <w:rPr>
          <w:rFonts w:hint="eastAsia" w:ascii="仿宋" w:hAnsi="仿宋" w:eastAsia="仿宋" w:cs="仿宋"/>
          <w:color w:val="000000"/>
          <w:sz w:val="32"/>
          <w:szCs w:val="32"/>
          <w:highlight w:val="none"/>
          <w:shd w:val="clear" w:color="auto" w:fill="FFFFFF"/>
        </w:rPr>
        <w:t>综合</w:t>
      </w:r>
      <w:r>
        <w:rPr>
          <w:rFonts w:hint="eastAsia" w:ascii="仿宋" w:hAnsi="仿宋" w:eastAsia="仿宋" w:cs="仿宋"/>
          <w:color w:val="000000"/>
          <w:sz w:val="32"/>
          <w:szCs w:val="32"/>
          <w:highlight w:val="none"/>
          <w:shd w:val="clear" w:color="auto" w:fill="FFFFFF"/>
          <w:lang w:val="en-US" w:eastAsia="zh-CN"/>
        </w:rPr>
        <w:t>分析、</w:t>
      </w:r>
      <w:r>
        <w:rPr>
          <w:rFonts w:hint="eastAsia" w:ascii="仿宋" w:hAnsi="仿宋" w:eastAsia="仿宋" w:cs="仿宋"/>
          <w:color w:val="000000"/>
          <w:sz w:val="32"/>
          <w:szCs w:val="32"/>
          <w:highlight w:val="none"/>
          <w:shd w:val="clear" w:color="auto" w:fill="FFFFFF"/>
        </w:rPr>
        <w:t>评</w:t>
      </w:r>
      <w:r>
        <w:rPr>
          <w:rFonts w:hint="eastAsia" w:ascii="仿宋" w:hAnsi="仿宋" w:eastAsia="仿宋" w:cs="仿宋"/>
          <w:color w:val="000000"/>
          <w:sz w:val="32"/>
          <w:szCs w:val="32"/>
          <w:highlight w:val="none"/>
          <w:shd w:val="clear" w:color="auto" w:fill="FFFFFF"/>
          <w:lang w:val="en-US" w:eastAsia="zh-CN"/>
        </w:rPr>
        <w:t>价</w:t>
      </w:r>
      <w:r>
        <w:rPr>
          <w:rFonts w:hint="eastAsia" w:ascii="仿宋" w:hAnsi="仿宋" w:eastAsia="仿宋" w:cs="仿宋"/>
          <w:kern w:val="2"/>
          <w:sz w:val="32"/>
          <w:szCs w:val="32"/>
          <w:highlight w:val="none"/>
          <w:lang w:val="en-US" w:eastAsia="zh-CN" w:bidi="ar-SA"/>
        </w:rPr>
        <w:t>项目资金使用取得的绩效，深度挖掘</w:t>
      </w:r>
      <w:r>
        <w:rPr>
          <w:rFonts w:hint="eastAsia" w:ascii="仿宋" w:hAnsi="仿宋" w:eastAsia="仿宋" w:cs="仿宋"/>
          <w:spacing w:val="-8"/>
          <w:sz w:val="32"/>
          <w:szCs w:val="32"/>
          <w:highlight w:val="none"/>
          <w:lang w:eastAsia="zh-CN"/>
        </w:rPr>
        <w:t>专项</w:t>
      </w:r>
      <w:r>
        <w:rPr>
          <w:rFonts w:hint="eastAsia" w:ascii="仿宋" w:hAnsi="仿宋" w:eastAsia="仿宋" w:cs="仿宋"/>
          <w:spacing w:val="-8"/>
          <w:sz w:val="32"/>
          <w:szCs w:val="32"/>
          <w:highlight w:val="none"/>
          <w:lang w:val="en-US" w:eastAsia="zh-CN"/>
        </w:rPr>
        <w:t>建设过程中存在的不足和问题，确保项目建设保质保量和项目资金的提质增效。</w:t>
      </w:r>
    </w:p>
    <w:p>
      <w:pPr>
        <w:keepNext w:val="0"/>
        <w:keepLines w:val="0"/>
        <w:pageBreakBefore w:val="0"/>
        <w:widowControl w:val="0"/>
        <w:numPr>
          <w:ilvl w:val="0"/>
          <w:numId w:val="1"/>
        </w:numPr>
        <w:shd w:val="clear"/>
        <w:kinsoku/>
        <w:wordWrap/>
        <w:overflowPunct/>
        <w:topLinePunct w:val="0"/>
        <w:autoSpaceDE/>
        <w:autoSpaceDN/>
        <w:bidi w:val="0"/>
        <w:adjustRightInd/>
        <w:snapToGrid/>
        <w:spacing w:line="360" w:lineRule="auto"/>
        <w:ind w:left="0" w:leftChars="0" w:firstLine="643" w:firstLineChars="200"/>
        <w:textAlignment w:val="auto"/>
        <w:outlineLvl w:val="1"/>
        <w:rPr>
          <w:rFonts w:hint="eastAsia" w:ascii="楷体" w:hAnsi="楷体" w:eastAsia="楷体" w:cs="楷体"/>
          <w:b/>
          <w:color w:val="000000"/>
          <w:sz w:val="32"/>
          <w:szCs w:val="32"/>
          <w:highlight w:val="none"/>
          <w:shd w:val="clear" w:color="auto" w:fill="FFFFFF"/>
          <w:lang w:eastAsia="zh-CN"/>
        </w:rPr>
      </w:pPr>
      <w:bookmarkStart w:id="12" w:name="_Toc26254"/>
      <w:r>
        <w:rPr>
          <w:rFonts w:hint="eastAsia" w:ascii="楷体" w:hAnsi="楷体" w:eastAsia="楷体" w:cs="楷体"/>
          <w:b/>
          <w:color w:val="000000"/>
          <w:sz w:val="32"/>
          <w:szCs w:val="32"/>
          <w:highlight w:val="none"/>
          <w:shd w:val="clear" w:color="auto" w:fill="FFFFFF"/>
          <w:lang w:eastAsia="zh-CN"/>
        </w:rPr>
        <w:t>绩效评价原则、评价指标体系、评价方法</w:t>
      </w:r>
      <w:bookmarkEnd w:id="12"/>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1</w:t>
      </w:r>
      <w:r>
        <w:rPr>
          <w:rFonts w:hint="eastAsia" w:ascii="仿宋" w:hAnsi="仿宋" w:eastAsia="仿宋" w:cs="仿宋"/>
          <w:sz w:val="32"/>
          <w:szCs w:val="32"/>
          <w:highlight w:val="none"/>
          <w:lang w:val="en-US" w:eastAsia="zh-CN"/>
        </w:rPr>
        <w:t>.</w:t>
      </w:r>
      <w:r>
        <w:rPr>
          <w:rFonts w:hint="eastAsia" w:ascii="仿宋" w:hAnsi="仿宋" w:eastAsia="仿宋" w:cs="仿宋"/>
          <w:sz w:val="32"/>
          <w:szCs w:val="32"/>
          <w:highlight w:val="none"/>
        </w:rPr>
        <w:t>本次绩效评价工作按照《中华人民共和国预算法》、《财政支出绩效评价管理暂行办法》、《湖南省财政厅关于深度整合规范省级专项资金的通知》（湘财预〔2016〕87号）</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湖南省财政厅关于印发《湖南省预算支出绩效评价管理办法》的通知</w:t>
      </w:r>
      <w:r>
        <w:rPr>
          <w:rFonts w:hint="eastAsia" w:ascii="仿宋" w:hAnsi="仿宋" w:eastAsia="仿宋" w:cs="仿宋"/>
          <w:sz w:val="32"/>
          <w:szCs w:val="32"/>
          <w:highlight w:val="none"/>
          <w:lang w:eastAsia="zh-CN"/>
        </w:rPr>
        <w:t>（湘财绩〔2020〕7号）、</w:t>
      </w:r>
      <w:r>
        <w:rPr>
          <w:rFonts w:hint="eastAsia" w:ascii="仿宋" w:hAnsi="仿宋" w:eastAsia="仿宋" w:cs="仿宋"/>
          <w:sz w:val="32"/>
          <w:szCs w:val="32"/>
          <w:highlight w:val="none"/>
          <w:lang w:val="en-US" w:eastAsia="zh-CN"/>
        </w:rPr>
        <w:t>湖南省财政厅关于印发《湖南省政府债务项目绩效管理暂行办法》的通知（湘财绩[2020]12号）</w:t>
      </w:r>
      <w:r>
        <w:rPr>
          <w:rFonts w:hint="eastAsia" w:ascii="仿宋" w:hAnsi="仿宋" w:eastAsia="仿宋" w:cs="仿宋"/>
          <w:sz w:val="32"/>
          <w:szCs w:val="32"/>
          <w:highlight w:val="none"/>
        </w:rPr>
        <w:t>以及有关的政策、规定、财务会计制度等，坚持实事求是、客观公正的原则。</w:t>
      </w:r>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2</w:t>
      </w:r>
      <w:r>
        <w:rPr>
          <w:rFonts w:hint="eastAsia" w:ascii="仿宋" w:hAnsi="仿宋" w:eastAsia="仿宋" w:cs="仿宋"/>
          <w:sz w:val="32"/>
          <w:szCs w:val="32"/>
          <w:highlight w:val="none"/>
          <w:lang w:val="en-US" w:eastAsia="zh-CN"/>
        </w:rPr>
        <w:t>.</w:t>
      </w:r>
      <w:r>
        <w:rPr>
          <w:rFonts w:hint="eastAsia" w:ascii="仿宋" w:hAnsi="仿宋" w:eastAsia="仿宋" w:cs="仿宋"/>
          <w:sz w:val="32"/>
          <w:szCs w:val="32"/>
          <w:highlight w:val="none"/>
        </w:rPr>
        <w:t>本次绩效评价工作制定了准确、合理、细致的三级绩效评价指标体系，包括</w:t>
      </w:r>
      <w:r>
        <w:rPr>
          <w:rFonts w:hint="eastAsia" w:ascii="仿宋" w:hAnsi="仿宋" w:eastAsia="仿宋" w:cs="仿宋"/>
          <w:sz w:val="32"/>
          <w:szCs w:val="32"/>
          <w:highlight w:val="none"/>
          <w:lang w:eastAsia="zh-CN"/>
        </w:rPr>
        <w:t>项目决策、过程、产出、</w:t>
      </w:r>
      <w:r>
        <w:rPr>
          <w:rFonts w:hint="eastAsia" w:ascii="仿宋" w:hAnsi="仿宋" w:eastAsia="仿宋" w:cs="仿宋"/>
          <w:sz w:val="32"/>
          <w:szCs w:val="32"/>
          <w:highlight w:val="none"/>
          <w:lang w:val="en-US" w:eastAsia="zh-CN"/>
        </w:rPr>
        <w:t>效果</w:t>
      </w:r>
      <w:r>
        <w:rPr>
          <w:rFonts w:hint="eastAsia" w:ascii="仿宋" w:hAnsi="仿宋" w:eastAsia="仿宋" w:cs="仿宋"/>
          <w:sz w:val="32"/>
          <w:szCs w:val="32"/>
          <w:highlight w:val="none"/>
          <w:lang w:eastAsia="zh-CN"/>
        </w:rPr>
        <w:t>的</w:t>
      </w:r>
      <w:r>
        <w:rPr>
          <w:rFonts w:hint="eastAsia" w:ascii="仿宋" w:hAnsi="仿宋" w:eastAsia="仿宋" w:cs="仿宋"/>
          <w:sz w:val="32"/>
          <w:szCs w:val="32"/>
          <w:highlight w:val="none"/>
        </w:rPr>
        <w:t>评价指标，</w:t>
      </w:r>
      <w:r>
        <w:rPr>
          <w:rFonts w:hint="eastAsia" w:ascii="仿宋" w:hAnsi="仿宋" w:eastAsia="仿宋" w:cs="仿宋"/>
          <w:sz w:val="32"/>
          <w:szCs w:val="32"/>
          <w:highlight w:val="none"/>
          <w:lang w:val="en-US" w:eastAsia="zh-CN"/>
        </w:rPr>
        <w:t>满分100分。绩效评价结果分为四个等级：90分（含）—100分为优，80分（含）—90分为良，60分（含）—80分为较差，60分以下为差。</w:t>
      </w:r>
      <w:r>
        <w:rPr>
          <w:rFonts w:hint="eastAsia" w:ascii="仿宋" w:hAnsi="仿宋" w:eastAsia="仿宋" w:cs="仿宋"/>
          <w:sz w:val="32"/>
          <w:szCs w:val="32"/>
          <w:highlight w:val="none"/>
        </w:rPr>
        <w:t>采用查阅资料、实地查看、问卷调查和听取情况介绍等方法进行。</w:t>
      </w:r>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firstLine="640" w:firstLineChars="200"/>
        <w:textAlignment w:val="auto"/>
        <w:outlineLvl w:val="0"/>
        <w:rPr>
          <w:rFonts w:hint="eastAsia" w:ascii="黑体" w:hAnsi="黑体" w:eastAsia="黑体" w:cs="黑体"/>
          <w:kern w:val="0"/>
          <w:sz w:val="32"/>
          <w:szCs w:val="32"/>
          <w:highlight w:val="none"/>
          <w:lang w:eastAsia="zh-CN"/>
        </w:rPr>
      </w:pPr>
      <w:bookmarkStart w:id="13" w:name="_Toc7615"/>
      <w:r>
        <w:rPr>
          <w:rFonts w:hint="eastAsia" w:ascii="黑体" w:hAnsi="黑体" w:eastAsia="黑体" w:cs="黑体"/>
          <w:kern w:val="0"/>
          <w:sz w:val="32"/>
          <w:szCs w:val="32"/>
          <w:highlight w:val="none"/>
          <w:lang w:eastAsia="zh-CN"/>
        </w:rPr>
        <w:t>三</w:t>
      </w:r>
      <w:r>
        <w:rPr>
          <w:rFonts w:hint="eastAsia" w:ascii="黑体" w:hAnsi="黑体" w:eastAsia="黑体" w:cs="黑体"/>
          <w:kern w:val="0"/>
          <w:sz w:val="32"/>
          <w:szCs w:val="32"/>
          <w:highlight w:val="none"/>
        </w:rPr>
        <w:t>、</w:t>
      </w:r>
      <w:r>
        <w:rPr>
          <w:rFonts w:hint="eastAsia" w:ascii="黑体" w:hAnsi="黑体" w:eastAsia="黑体" w:cs="黑体"/>
          <w:kern w:val="0"/>
          <w:sz w:val="32"/>
          <w:szCs w:val="32"/>
          <w:highlight w:val="none"/>
          <w:lang w:eastAsia="zh-CN"/>
        </w:rPr>
        <w:t>主要绩效及评价结论</w:t>
      </w:r>
      <w:bookmarkEnd w:id="13"/>
    </w:p>
    <w:p>
      <w:pPr>
        <w:pStyle w:val="12"/>
        <w:keepNext w:val="0"/>
        <w:keepLines w:val="0"/>
        <w:pageBreakBefore w:val="0"/>
        <w:widowControl w:val="0"/>
        <w:shd w:val="clear"/>
        <w:kinsoku/>
        <w:wordWrap/>
        <w:overflowPunct/>
        <w:topLinePunct w:val="0"/>
        <w:autoSpaceDE/>
        <w:autoSpaceDN/>
        <w:bidi w:val="0"/>
        <w:adjustRightInd/>
        <w:snapToGrid/>
        <w:spacing w:beforeLines="0" w:afterLines="0" w:line="360" w:lineRule="auto"/>
        <w:ind w:left="0" w:leftChars="0"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kern w:val="2"/>
          <w:sz w:val="32"/>
          <w:szCs w:val="32"/>
          <w:highlight w:val="none"/>
          <w:lang w:val="en-US" w:eastAsia="zh-CN" w:bidi="ar-SA"/>
        </w:rPr>
        <w:t>邵阳市北塔区茶元头乡污水截流工程完工后于2021年4月交由邵阳市排水管理所管理运行，目前泵站运行正常，杨家垅区域沿线管网覆盖到位，沿线污水均已接入市政管网。</w:t>
      </w:r>
      <w:r>
        <w:rPr>
          <w:rFonts w:hint="eastAsia" w:ascii="仿宋" w:hAnsi="仿宋" w:eastAsia="仿宋" w:cs="仿宋"/>
          <w:sz w:val="32"/>
          <w:szCs w:val="32"/>
          <w:highlight w:val="none"/>
          <w:lang w:val="en-US" w:eastAsia="zh-CN"/>
        </w:rPr>
        <w:t>项目建设符合国家产业政策和投资政策，项目的实施加快当地污水收集及处理，减少污染物向地面水系的排放量，改善城市环境，改善江北茶元头乃至整个邵阳市周边的水环境，提升城市形象，为城市发展创造良好的投资环境提供有效助力。但该项目在绩效管理、成本管理、制度建设等方面存在诸多不足，经绩效评价组现场调查审核、集体讨论、综合评议，该项目得分为78.18分，评价等级为“较差”（详见附表和绩效评价指标评分过程情况说明）。</w:t>
      </w:r>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firstLine="640" w:firstLineChars="200"/>
        <w:textAlignment w:val="auto"/>
        <w:outlineLvl w:val="0"/>
        <w:rPr>
          <w:rFonts w:hint="eastAsia" w:ascii="黑体" w:hAnsi="黑体" w:eastAsia="黑体" w:cs="黑体"/>
          <w:kern w:val="0"/>
          <w:sz w:val="32"/>
          <w:szCs w:val="32"/>
          <w:highlight w:val="none"/>
          <w:lang w:eastAsia="zh-CN"/>
        </w:rPr>
      </w:pPr>
      <w:bookmarkStart w:id="14" w:name="_Toc27541"/>
      <w:r>
        <w:rPr>
          <w:rFonts w:hint="eastAsia" w:ascii="黑体" w:hAnsi="黑体" w:eastAsia="黑体" w:cs="黑体"/>
          <w:kern w:val="0"/>
          <w:sz w:val="32"/>
          <w:szCs w:val="32"/>
          <w:highlight w:val="none"/>
          <w:lang w:eastAsia="zh-CN"/>
        </w:rPr>
        <w:t>四</w:t>
      </w:r>
      <w:r>
        <w:rPr>
          <w:rFonts w:hint="eastAsia" w:ascii="黑体" w:hAnsi="黑体" w:eastAsia="黑体" w:cs="黑体"/>
          <w:kern w:val="0"/>
          <w:sz w:val="32"/>
          <w:szCs w:val="32"/>
          <w:highlight w:val="none"/>
        </w:rPr>
        <w:t>、</w:t>
      </w:r>
      <w:r>
        <w:rPr>
          <w:rFonts w:hint="eastAsia" w:ascii="黑体" w:hAnsi="黑体" w:eastAsia="黑体" w:cs="黑体"/>
          <w:kern w:val="0"/>
          <w:sz w:val="32"/>
          <w:szCs w:val="32"/>
          <w:highlight w:val="none"/>
          <w:lang w:eastAsia="zh-CN"/>
        </w:rPr>
        <w:t>绩效评价指标分析</w:t>
      </w:r>
      <w:bookmarkEnd w:id="14"/>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firstLine="608" w:firstLineChars="200"/>
        <w:textAlignment w:val="auto"/>
        <w:outlineLvl w:val="1"/>
        <w:rPr>
          <w:rFonts w:hint="eastAsia" w:ascii="仿宋" w:hAnsi="仿宋" w:eastAsia="仿宋" w:cs="仿宋"/>
          <w:b w:val="0"/>
          <w:bCs w:val="0"/>
          <w:sz w:val="32"/>
          <w:szCs w:val="32"/>
          <w:highlight w:val="none"/>
          <w:lang w:val="en-US" w:eastAsia="zh-CN"/>
        </w:rPr>
      </w:pPr>
      <w:bookmarkStart w:id="15" w:name="_Toc26560"/>
      <w:r>
        <w:rPr>
          <w:rFonts w:hint="eastAsia" w:ascii="仿宋" w:hAnsi="仿宋" w:eastAsia="仿宋" w:cs="仿宋"/>
          <w:spacing w:val="-8"/>
          <w:sz w:val="32"/>
          <w:szCs w:val="32"/>
          <w:highlight w:val="none"/>
        </w:rPr>
        <w:t>项目评价指标按</w:t>
      </w:r>
      <w:r>
        <w:rPr>
          <w:rFonts w:hint="eastAsia" w:ascii="仿宋" w:hAnsi="仿宋" w:eastAsia="仿宋" w:cs="仿宋"/>
          <w:spacing w:val="-8"/>
          <w:sz w:val="32"/>
          <w:szCs w:val="32"/>
          <w:highlight w:val="none"/>
          <w:lang w:eastAsia="zh-CN"/>
        </w:rPr>
        <w:t>决策</w:t>
      </w:r>
      <w:r>
        <w:rPr>
          <w:rFonts w:hint="eastAsia" w:ascii="仿宋" w:hAnsi="仿宋" w:eastAsia="仿宋" w:cs="仿宋"/>
          <w:spacing w:val="-8"/>
          <w:sz w:val="32"/>
          <w:szCs w:val="32"/>
          <w:highlight w:val="none"/>
        </w:rPr>
        <w:t>、过程、产出</w:t>
      </w:r>
      <w:r>
        <w:rPr>
          <w:rFonts w:hint="eastAsia" w:ascii="仿宋" w:hAnsi="仿宋" w:eastAsia="仿宋" w:cs="仿宋"/>
          <w:spacing w:val="-8"/>
          <w:sz w:val="32"/>
          <w:szCs w:val="32"/>
          <w:highlight w:val="none"/>
          <w:lang w:val="en-US" w:eastAsia="zh-CN"/>
        </w:rPr>
        <w:t>与效益四</w:t>
      </w:r>
      <w:r>
        <w:rPr>
          <w:rFonts w:hint="eastAsia" w:ascii="仿宋" w:hAnsi="仿宋" w:eastAsia="仿宋" w:cs="仿宋"/>
          <w:spacing w:val="-8"/>
          <w:sz w:val="32"/>
          <w:szCs w:val="32"/>
          <w:highlight w:val="none"/>
        </w:rPr>
        <w:t>个方面以百分制集体打分方式进行具体细分评价</w:t>
      </w:r>
      <w:r>
        <w:rPr>
          <w:rFonts w:hint="eastAsia" w:ascii="仿宋" w:hAnsi="仿宋" w:eastAsia="仿宋" w:cs="仿宋"/>
          <w:spacing w:val="-8"/>
          <w:sz w:val="32"/>
          <w:szCs w:val="32"/>
          <w:highlight w:val="none"/>
          <w:lang w:eastAsia="zh-CN"/>
        </w:rPr>
        <w:t>，</w:t>
      </w:r>
      <w:r>
        <w:rPr>
          <w:rFonts w:hint="eastAsia" w:ascii="仿宋" w:hAnsi="仿宋" w:eastAsia="仿宋" w:cs="仿宋"/>
          <w:spacing w:val="-8"/>
          <w:sz w:val="32"/>
          <w:szCs w:val="32"/>
          <w:highlight w:val="none"/>
        </w:rPr>
        <w:t>其中：</w:t>
      </w:r>
      <w:r>
        <w:rPr>
          <w:rFonts w:hint="eastAsia" w:ascii="仿宋" w:hAnsi="仿宋" w:eastAsia="仿宋" w:cs="仿宋"/>
          <w:spacing w:val="-8"/>
          <w:sz w:val="32"/>
          <w:szCs w:val="32"/>
          <w:highlight w:val="none"/>
          <w:lang w:eastAsia="zh-CN"/>
        </w:rPr>
        <w:t>决策标准分</w:t>
      </w:r>
      <w:r>
        <w:rPr>
          <w:rFonts w:hint="eastAsia" w:ascii="仿宋" w:hAnsi="仿宋" w:eastAsia="仿宋" w:cs="仿宋"/>
          <w:spacing w:val="-8"/>
          <w:sz w:val="32"/>
          <w:szCs w:val="32"/>
          <w:highlight w:val="none"/>
          <w:lang w:val="en-US" w:eastAsia="zh-CN"/>
        </w:rPr>
        <w:t>10分、</w:t>
      </w:r>
      <w:r>
        <w:rPr>
          <w:rFonts w:hint="eastAsia" w:ascii="仿宋" w:hAnsi="仿宋" w:eastAsia="仿宋" w:cs="仿宋"/>
          <w:spacing w:val="-8"/>
          <w:sz w:val="32"/>
          <w:szCs w:val="32"/>
          <w:highlight w:val="none"/>
          <w:lang w:eastAsia="zh-CN"/>
        </w:rPr>
        <w:t>得</w:t>
      </w:r>
      <w:r>
        <w:rPr>
          <w:rFonts w:hint="eastAsia" w:ascii="仿宋" w:hAnsi="仿宋" w:eastAsia="仿宋" w:cs="仿宋"/>
          <w:spacing w:val="-8"/>
          <w:sz w:val="32"/>
          <w:szCs w:val="32"/>
          <w:highlight w:val="none"/>
        </w:rPr>
        <w:t>分</w:t>
      </w:r>
      <w:r>
        <w:rPr>
          <w:rFonts w:hint="eastAsia" w:ascii="仿宋" w:hAnsi="仿宋" w:eastAsia="仿宋" w:cs="仿宋"/>
          <w:spacing w:val="-8"/>
          <w:sz w:val="32"/>
          <w:szCs w:val="32"/>
          <w:highlight w:val="none"/>
          <w:lang w:val="en-US" w:eastAsia="zh-CN"/>
        </w:rPr>
        <w:t>6</w:t>
      </w:r>
      <w:r>
        <w:rPr>
          <w:rFonts w:hint="eastAsia" w:ascii="仿宋" w:hAnsi="仿宋" w:eastAsia="仿宋" w:cs="仿宋"/>
          <w:spacing w:val="-8"/>
          <w:sz w:val="32"/>
          <w:szCs w:val="32"/>
          <w:highlight w:val="none"/>
        </w:rPr>
        <w:t>分</w:t>
      </w:r>
      <w:r>
        <w:rPr>
          <w:rFonts w:hint="eastAsia" w:ascii="仿宋" w:hAnsi="仿宋" w:eastAsia="仿宋" w:cs="仿宋"/>
          <w:spacing w:val="-8"/>
          <w:sz w:val="32"/>
          <w:szCs w:val="32"/>
          <w:highlight w:val="none"/>
          <w:lang w:eastAsia="zh-CN"/>
        </w:rPr>
        <w:t>；</w:t>
      </w:r>
      <w:r>
        <w:rPr>
          <w:rFonts w:hint="eastAsia" w:ascii="仿宋" w:hAnsi="仿宋" w:eastAsia="仿宋" w:cs="仿宋"/>
          <w:spacing w:val="-8"/>
          <w:sz w:val="32"/>
          <w:szCs w:val="32"/>
          <w:highlight w:val="none"/>
          <w:lang w:val="en-US" w:eastAsia="zh-CN"/>
        </w:rPr>
        <w:t>过程标准分30分、得分23分</w:t>
      </w:r>
      <w:r>
        <w:rPr>
          <w:rFonts w:hint="eastAsia" w:ascii="仿宋" w:hAnsi="仿宋" w:eastAsia="仿宋" w:cs="仿宋"/>
          <w:spacing w:val="-8"/>
          <w:sz w:val="32"/>
          <w:szCs w:val="32"/>
          <w:highlight w:val="none"/>
          <w:lang w:eastAsia="zh-CN"/>
        </w:rPr>
        <w:t>；</w:t>
      </w:r>
      <w:r>
        <w:rPr>
          <w:rFonts w:hint="eastAsia" w:ascii="仿宋" w:hAnsi="仿宋" w:eastAsia="仿宋" w:cs="仿宋"/>
          <w:spacing w:val="-8"/>
          <w:sz w:val="32"/>
          <w:szCs w:val="32"/>
          <w:highlight w:val="none"/>
        </w:rPr>
        <w:t>产出</w:t>
      </w:r>
      <w:r>
        <w:rPr>
          <w:rFonts w:hint="eastAsia" w:ascii="仿宋" w:hAnsi="仿宋" w:eastAsia="仿宋" w:cs="仿宋"/>
          <w:spacing w:val="-8"/>
          <w:sz w:val="32"/>
          <w:szCs w:val="32"/>
          <w:highlight w:val="none"/>
          <w:lang w:eastAsia="zh-CN"/>
        </w:rPr>
        <w:t>标准分</w:t>
      </w:r>
      <w:r>
        <w:rPr>
          <w:rFonts w:hint="eastAsia" w:ascii="仿宋" w:hAnsi="仿宋" w:eastAsia="仿宋" w:cs="仿宋"/>
          <w:spacing w:val="-8"/>
          <w:sz w:val="32"/>
          <w:szCs w:val="32"/>
          <w:highlight w:val="none"/>
          <w:lang w:val="en-US" w:eastAsia="zh-CN"/>
        </w:rPr>
        <w:t>35分，得分28.18分，效益标准分25分、得分21</w:t>
      </w:r>
      <w:r>
        <w:rPr>
          <w:rFonts w:hint="eastAsia" w:ascii="仿宋" w:hAnsi="仿宋" w:eastAsia="仿宋" w:cs="仿宋"/>
          <w:spacing w:val="-8"/>
          <w:sz w:val="32"/>
          <w:szCs w:val="32"/>
          <w:highlight w:val="none"/>
        </w:rPr>
        <w:t>分。</w:t>
      </w:r>
      <w:r>
        <w:rPr>
          <w:rFonts w:hint="eastAsia" w:ascii="仿宋" w:hAnsi="仿宋" w:eastAsia="仿宋" w:cs="仿宋"/>
          <w:spacing w:val="-8"/>
          <w:sz w:val="32"/>
          <w:szCs w:val="32"/>
          <w:highlight w:val="none"/>
          <w:lang w:val="en-US" w:eastAsia="zh-CN"/>
        </w:rPr>
        <w:t>评分结果：78.18分</w:t>
      </w:r>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firstLine="643" w:firstLineChars="200"/>
        <w:textAlignment w:val="auto"/>
        <w:outlineLvl w:val="1"/>
        <w:rPr>
          <w:rFonts w:hint="eastAsia" w:ascii="楷体" w:hAnsi="楷体" w:eastAsia="楷体" w:cs="楷体"/>
          <w:b/>
          <w:bCs/>
          <w:sz w:val="32"/>
          <w:szCs w:val="32"/>
          <w:highlight w:val="none"/>
          <w:lang w:val="en-US" w:eastAsia="zh-CN"/>
        </w:rPr>
      </w:pPr>
      <w:r>
        <w:rPr>
          <w:rFonts w:hint="eastAsia" w:ascii="楷体" w:hAnsi="楷体" w:eastAsia="楷体" w:cs="楷体"/>
          <w:b/>
          <w:bCs/>
          <w:sz w:val="32"/>
          <w:szCs w:val="32"/>
          <w:highlight w:val="none"/>
          <w:lang w:val="en-US" w:eastAsia="zh-CN"/>
        </w:rPr>
        <w:t>(一)项目决策情况</w:t>
      </w:r>
      <w:bookmarkEnd w:id="15"/>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项目决策标准分10分，得分6分，扣4分。具体情况如下：</w:t>
      </w:r>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firstLine="643" w:firstLineChars="200"/>
        <w:textAlignment w:val="auto"/>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1.项目立项（标准分5分，扣1分，得4分）</w:t>
      </w:r>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b/>
          <w:bCs/>
          <w:sz w:val="32"/>
          <w:szCs w:val="32"/>
          <w:highlight w:val="none"/>
          <w:lang w:val="en-US" w:eastAsia="zh-CN"/>
        </w:rPr>
      </w:pPr>
      <w:r>
        <w:rPr>
          <w:rFonts w:hint="eastAsia" w:ascii="仿宋" w:hAnsi="仿宋" w:eastAsia="仿宋" w:cs="仿宋"/>
          <w:b w:val="0"/>
          <w:bCs w:val="0"/>
          <w:sz w:val="32"/>
          <w:szCs w:val="32"/>
          <w:highlight w:val="none"/>
          <w:lang w:val="en-US" w:eastAsia="zh-CN"/>
        </w:rPr>
        <w:t>一是项目事前编制了可行性研究报告，专家论证，项目单位严格执行国家有关招投标的规定，选择项目建设单位时依法委托有相应资质的招投标代理机构实行公开招标，并接受有关行政主管部门的监督。二是项目取得</w:t>
      </w:r>
      <w:r>
        <w:rPr>
          <w:rFonts w:hint="eastAsia" w:ascii="仿宋" w:hAnsi="仿宋" w:eastAsia="仿宋" w:cs="仿宋"/>
          <w:sz w:val="32"/>
          <w:szCs w:val="32"/>
          <w:highlight w:val="none"/>
          <w:lang w:val="en-US" w:eastAsia="zh-CN"/>
        </w:rPr>
        <w:t>相关部门的环评、用地、规划许可，申报程序合法合规。三本项目按照立项程序编制了</w:t>
      </w:r>
      <w:r>
        <w:rPr>
          <w:rFonts w:hint="eastAsia" w:ascii="仿宋" w:hAnsi="仿宋" w:eastAsia="仿宋" w:cs="仿宋"/>
          <w:b w:val="0"/>
          <w:bCs w:val="0"/>
          <w:sz w:val="32"/>
          <w:szCs w:val="32"/>
          <w:highlight w:val="none"/>
          <w:lang w:val="en-US" w:eastAsia="zh-CN"/>
        </w:rPr>
        <w:t>“一案两书”进行论证，申请债券资金额度在项目污水处理收入偿还能力之内，截止绩效评价报告日，公司只提供了《收益与融资自求平衡专项审核报告》，因《专项债券项目收益与融资自求平衡方案》、《专项债券之法律意见书》缺失，暂扣1分。</w:t>
      </w:r>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firstLine="643" w:firstLineChars="200"/>
        <w:textAlignment w:val="auto"/>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2.绩效目标（标准分5分，扣3分，得2分）</w:t>
      </w:r>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b w:val="0"/>
          <w:bCs w:val="0"/>
          <w:sz w:val="32"/>
          <w:szCs w:val="32"/>
          <w:highlight w:val="yellow"/>
          <w:lang w:val="en-US" w:eastAsia="zh-CN"/>
        </w:rPr>
      </w:pPr>
      <w:r>
        <w:rPr>
          <w:rFonts w:hint="eastAsia" w:ascii="仿宋" w:hAnsi="仿宋" w:eastAsia="仿宋" w:cs="仿宋"/>
          <w:b w:val="0"/>
          <w:bCs w:val="0"/>
          <w:sz w:val="32"/>
          <w:szCs w:val="32"/>
          <w:highlight w:val="none"/>
          <w:lang w:val="en-US" w:eastAsia="zh-CN"/>
        </w:rPr>
        <w:t>项目没有进行绩效目标申报扣1分；未将项目绩效目标细化分解为具体的绩效指标，扣1分；未设置清晰、可衡量的绩效指标值，扣1分。</w:t>
      </w:r>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firstLine="643" w:firstLineChars="200"/>
        <w:textAlignment w:val="auto"/>
        <w:rPr>
          <w:rFonts w:hint="eastAsia" w:ascii="楷体" w:hAnsi="楷体" w:eastAsia="楷体" w:cs="楷体"/>
          <w:b/>
          <w:bCs/>
          <w:sz w:val="32"/>
          <w:szCs w:val="32"/>
          <w:highlight w:val="none"/>
          <w:lang w:val="en-US" w:eastAsia="zh-CN"/>
        </w:rPr>
      </w:pPr>
      <w:r>
        <w:rPr>
          <w:rFonts w:hint="eastAsia" w:ascii="楷体" w:hAnsi="楷体" w:eastAsia="楷体" w:cs="楷体"/>
          <w:b/>
          <w:bCs/>
          <w:sz w:val="32"/>
          <w:szCs w:val="32"/>
          <w:highlight w:val="none"/>
          <w:lang w:val="en-US" w:eastAsia="zh-CN"/>
        </w:rPr>
        <w:t>(二)项目过程情况</w:t>
      </w:r>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项目过程标准分30分，得分23分，扣7分。具体情况如下：</w:t>
      </w:r>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firstLine="643" w:firstLineChars="200"/>
        <w:textAlignment w:val="auto"/>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1.项目资金管理（标准分15分，扣0分，得分15分）</w:t>
      </w:r>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b w:val="0"/>
          <w:bCs w:val="0"/>
          <w:sz w:val="32"/>
          <w:szCs w:val="32"/>
          <w:highlight w:val="none"/>
          <w:lang w:val="en-US" w:eastAsia="zh-CN"/>
        </w:rPr>
      </w:pPr>
      <w:r>
        <w:rPr>
          <w:rFonts w:hint="default" w:ascii="仿宋" w:hAnsi="仿宋" w:eastAsia="仿宋" w:cs="仿宋"/>
          <w:b w:val="0"/>
          <w:bCs w:val="0"/>
          <w:sz w:val="32"/>
          <w:szCs w:val="32"/>
          <w:highlight w:val="none"/>
          <w:lang w:val="en-US" w:eastAsia="zh-CN"/>
        </w:rPr>
        <w:t>①</w:t>
      </w:r>
      <w:r>
        <w:rPr>
          <w:rFonts w:hint="eastAsia" w:ascii="仿宋" w:hAnsi="仿宋" w:eastAsia="仿宋" w:cs="仿宋"/>
          <w:b w:val="0"/>
          <w:bCs w:val="0"/>
          <w:sz w:val="32"/>
          <w:szCs w:val="32"/>
          <w:highlight w:val="none"/>
          <w:lang w:val="en-US" w:eastAsia="zh-CN"/>
        </w:rPr>
        <w:t>资金到位率100%；</w:t>
      </w:r>
      <w:r>
        <w:rPr>
          <w:rFonts w:hint="default" w:ascii="仿宋" w:hAnsi="仿宋" w:eastAsia="仿宋" w:cs="仿宋"/>
          <w:b w:val="0"/>
          <w:bCs w:val="0"/>
          <w:sz w:val="32"/>
          <w:szCs w:val="32"/>
          <w:highlight w:val="none"/>
          <w:lang w:val="en-US" w:eastAsia="zh-CN"/>
        </w:rPr>
        <w:t>②</w:t>
      </w:r>
      <w:r>
        <w:rPr>
          <w:rFonts w:hint="eastAsia" w:ascii="仿宋" w:hAnsi="仿宋" w:eastAsia="仿宋" w:cs="仿宋"/>
          <w:b w:val="0"/>
          <w:bCs w:val="0"/>
          <w:sz w:val="32"/>
          <w:szCs w:val="32"/>
          <w:highlight w:val="none"/>
          <w:lang w:val="en-US" w:eastAsia="zh-CN"/>
        </w:rPr>
        <w:t>专项资金预算执行率100%；</w:t>
      </w:r>
      <w:r>
        <w:rPr>
          <w:rFonts w:hint="default" w:ascii="仿宋" w:hAnsi="仿宋" w:eastAsia="仿宋" w:cs="仿宋"/>
          <w:b w:val="0"/>
          <w:bCs w:val="0"/>
          <w:sz w:val="32"/>
          <w:szCs w:val="32"/>
          <w:highlight w:val="none"/>
          <w:lang w:val="en-US" w:eastAsia="zh-CN"/>
        </w:rPr>
        <w:t>③</w:t>
      </w:r>
      <w:r>
        <w:rPr>
          <w:rFonts w:hint="eastAsia" w:ascii="仿宋" w:hAnsi="仿宋" w:eastAsia="仿宋" w:cs="仿宋"/>
          <w:b w:val="0"/>
          <w:bCs w:val="0"/>
          <w:sz w:val="32"/>
          <w:szCs w:val="32"/>
          <w:highlight w:val="none"/>
          <w:lang w:val="en-US" w:eastAsia="zh-CN"/>
        </w:rPr>
        <w:t>资金使用符合国家财经法规和财务管理制度以及有关债券资金管理的规定，资金拨付有完整的审批程序和手续；④还本付息由市财政部门统筹安排，未出现违约现象。</w:t>
      </w:r>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firstLine="643" w:firstLineChars="200"/>
        <w:textAlignment w:val="auto"/>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2.项目实施（标准分15分，扣7分，得8分）</w:t>
      </w:r>
    </w:p>
    <w:p>
      <w:pPr>
        <w:pStyle w:val="12"/>
        <w:keepNext w:val="0"/>
        <w:keepLines w:val="0"/>
        <w:pageBreakBefore w:val="0"/>
        <w:widowControl w:val="0"/>
        <w:shd w:val="clear"/>
        <w:kinsoku/>
        <w:wordWrap/>
        <w:overflowPunct/>
        <w:topLinePunct w:val="0"/>
        <w:autoSpaceDE/>
        <w:autoSpaceDN/>
        <w:bidi w:val="0"/>
        <w:adjustRightInd/>
        <w:snapToGrid/>
        <w:spacing w:beforeLines="0" w:afterLines="0" w:line="360" w:lineRule="auto"/>
        <w:ind w:left="0" w:firstLine="640" w:firstLineChars="200"/>
        <w:textAlignment w:val="auto"/>
        <w:rPr>
          <w:rFonts w:hint="eastAsia" w:ascii="仿宋" w:hAnsi="仿宋" w:eastAsia="仿宋" w:cs="仿宋"/>
          <w:b w:val="0"/>
          <w:bCs w:val="0"/>
          <w:spacing w:val="0"/>
          <w:sz w:val="32"/>
          <w:szCs w:val="32"/>
          <w:highlight w:val="none"/>
          <w:lang w:val="en-US" w:eastAsia="zh-CN"/>
        </w:rPr>
      </w:pPr>
      <w:r>
        <w:rPr>
          <w:rFonts w:hint="default" w:ascii="仿宋" w:hAnsi="仿宋" w:eastAsia="仿宋" w:cs="仿宋"/>
          <w:b w:val="0"/>
          <w:bCs w:val="0"/>
          <w:sz w:val="32"/>
          <w:szCs w:val="32"/>
          <w:highlight w:val="none"/>
          <w:lang w:val="en-US" w:eastAsia="zh-CN"/>
        </w:rPr>
        <w:t>①</w:t>
      </w:r>
      <w:r>
        <w:rPr>
          <w:rFonts w:hint="eastAsia" w:ascii="仿宋" w:hAnsi="仿宋" w:eastAsia="仿宋" w:cs="仿宋"/>
          <w:b w:val="0"/>
          <w:bCs w:val="0"/>
          <w:sz w:val="32"/>
          <w:szCs w:val="32"/>
          <w:highlight w:val="none"/>
          <w:lang w:val="en-US" w:eastAsia="zh-CN"/>
        </w:rPr>
        <w:t>项目立项、报批、工程建设、工程竣工验收等基本按照国家相关法律法规和规章制度的规定执行，但未建立项目管理制度扣1分，</w:t>
      </w:r>
      <w:r>
        <w:rPr>
          <w:rFonts w:hint="eastAsia" w:ascii="仿宋" w:hAnsi="仿宋" w:eastAsia="仿宋" w:cs="仿宋"/>
          <w:sz w:val="32"/>
          <w:szCs w:val="32"/>
          <w:highlight w:val="none"/>
          <w:lang w:val="en-US" w:eastAsia="zh-CN"/>
        </w:rPr>
        <w:t>项目实施过程中存在项目现场管理不严谨、签证事项不到位等情况</w:t>
      </w:r>
      <w:r>
        <w:rPr>
          <w:rFonts w:hint="eastAsia" w:ascii="仿宋" w:hAnsi="仿宋" w:eastAsia="仿宋" w:cs="仿宋"/>
          <w:b w:val="0"/>
          <w:bCs w:val="0"/>
          <w:sz w:val="32"/>
          <w:szCs w:val="32"/>
          <w:highlight w:val="none"/>
          <w:lang w:val="en-US" w:eastAsia="zh-CN"/>
        </w:rPr>
        <w:t>扣1分；</w:t>
      </w:r>
      <w:r>
        <w:rPr>
          <w:rFonts w:hint="default" w:ascii="仿宋" w:hAnsi="仿宋" w:eastAsia="仿宋" w:cs="仿宋"/>
          <w:b w:val="0"/>
          <w:bCs w:val="0"/>
          <w:sz w:val="32"/>
          <w:szCs w:val="32"/>
          <w:highlight w:val="none"/>
          <w:lang w:val="en-US" w:eastAsia="zh-CN"/>
        </w:rPr>
        <w:t>②</w:t>
      </w:r>
      <w:r>
        <w:rPr>
          <w:rFonts w:hint="eastAsia" w:ascii="仿宋" w:hAnsi="仿宋" w:eastAsia="仿宋" w:cs="仿宋"/>
          <w:b w:val="0"/>
          <w:bCs w:val="0"/>
          <w:sz w:val="32"/>
          <w:szCs w:val="32"/>
          <w:highlight w:val="none"/>
          <w:lang w:val="en-US" w:eastAsia="zh-CN"/>
        </w:rPr>
        <w:t>采取了质量控制措施，并委派监理公司深入工地一线做好建设项目的现场监督工作，但项目工程造价变更增加未履行报批手续扣1分；</w:t>
      </w:r>
      <w:r>
        <w:rPr>
          <w:rFonts w:hint="default" w:ascii="仿宋" w:hAnsi="仿宋" w:eastAsia="仿宋" w:cs="仿宋"/>
          <w:b w:val="0"/>
          <w:bCs w:val="0"/>
          <w:sz w:val="32"/>
          <w:szCs w:val="32"/>
          <w:highlight w:val="none"/>
          <w:lang w:val="en-US" w:eastAsia="zh-CN"/>
        </w:rPr>
        <w:t>③</w:t>
      </w:r>
      <w:r>
        <w:rPr>
          <w:rFonts w:hint="eastAsia" w:ascii="仿宋" w:hAnsi="仿宋" w:eastAsia="仿宋" w:cs="仿宋"/>
          <w:b w:val="0"/>
          <w:bCs w:val="0"/>
          <w:sz w:val="32"/>
          <w:szCs w:val="32"/>
          <w:highlight w:val="none"/>
          <w:lang w:val="en-US" w:eastAsia="zh-CN"/>
        </w:rPr>
        <w:t>项目严格按照招标和采购的程序执行，工程完工后市公用事业基础设施建设公司组织相关单位进行了质量验收；④未进行资产登记、产权确认和产权界定等扣1分；⑤项目</w:t>
      </w:r>
      <w:r>
        <w:rPr>
          <w:rFonts w:hint="eastAsia" w:ascii="仿宋" w:hAnsi="仿宋" w:eastAsia="仿宋" w:cs="仿宋"/>
          <w:b w:val="0"/>
          <w:bCs w:val="0"/>
          <w:spacing w:val="0"/>
          <w:sz w:val="32"/>
          <w:szCs w:val="32"/>
          <w:highlight w:val="none"/>
          <w:lang w:val="en-US" w:eastAsia="zh-CN"/>
        </w:rPr>
        <w:t>实施过程中未出现重大债务违约事件、重大安全事故、重大违法违规事件及重大群体性事件等。公司未建立债务风险动态监测机制，未正式出台债务风险应对预案和社会稳定风险应对预案，扣2分，未公开债券资金使用情况、项目建设进度、运营情况等，扣1分</w:t>
      </w:r>
      <w:r>
        <w:rPr>
          <w:rFonts w:hint="eastAsia" w:ascii="仿宋" w:hAnsi="仿宋" w:eastAsia="仿宋" w:cs="仿宋"/>
          <w:sz w:val="32"/>
          <w:szCs w:val="32"/>
          <w:highlight w:val="none"/>
          <w:lang w:val="en-US" w:eastAsia="zh-CN"/>
        </w:rPr>
        <w:t>。</w:t>
      </w:r>
    </w:p>
    <w:p>
      <w:pPr>
        <w:pStyle w:val="12"/>
        <w:keepNext w:val="0"/>
        <w:keepLines w:val="0"/>
        <w:pageBreakBefore w:val="0"/>
        <w:widowControl w:val="0"/>
        <w:shd w:val="clear"/>
        <w:kinsoku/>
        <w:wordWrap/>
        <w:overflowPunct/>
        <w:topLinePunct w:val="0"/>
        <w:autoSpaceDE/>
        <w:autoSpaceDN/>
        <w:bidi w:val="0"/>
        <w:adjustRightInd/>
        <w:snapToGrid/>
        <w:spacing w:beforeLines="0" w:afterLines="0" w:line="360" w:lineRule="auto"/>
        <w:ind w:left="0" w:firstLine="611" w:firstLineChars="200"/>
        <w:textAlignment w:val="auto"/>
        <w:rPr>
          <w:rFonts w:hint="eastAsia" w:ascii="楷体" w:hAnsi="楷体" w:eastAsia="楷体" w:cs="楷体"/>
          <w:b/>
          <w:bCs/>
          <w:spacing w:val="-8"/>
          <w:sz w:val="32"/>
          <w:szCs w:val="32"/>
          <w:highlight w:val="none"/>
          <w:lang w:val="en-US" w:eastAsia="zh-CN"/>
        </w:rPr>
      </w:pPr>
      <w:r>
        <w:rPr>
          <w:rFonts w:hint="eastAsia" w:ascii="楷体" w:hAnsi="楷体" w:eastAsia="楷体" w:cs="楷体"/>
          <w:b/>
          <w:bCs/>
          <w:spacing w:val="-8"/>
          <w:sz w:val="32"/>
          <w:szCs w:val="32"/>
          <w:highlight w:val="none"/>
          <w:lang w:val="en-US" w:eastAsia="zh-CN"/>
        </w:rPr>
        <w:t>(三)项目产出情况</w:t>
      </w:r>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项目产出标准分35分，得分28.18分，扣6.82分。具体情况如下：</w:t>
      </w:r>
    </w:p>
    <w:p>
      <w:pPr>
        <w:pStyle w:val="12"/>
        <w:keepNext w:val="0"/>
        <w:keepLines w:val="0"/>
        <w:pageBreakBefore w:val="0"/>
        <w:widowControl w:val="0"/>
        <w:shd w:val="clear"/>
        <w:kinsoku/>
        <w:wordWrap/>
        <w:overflowPunct/>
        <w:topLinePunct w:val="0"/>
        <w:autoSpaceDE/>
        <w:autoSpaceDN/>
        <w:bidi w:val="0"/>
        <w:adjustRightInd/>
        <w:snapToGrid/>
        <w:spacing w:beforeLines="0" w:afterLines="0" w:line="360" w:lineRule="auto"/>
        <w:ind w:left="0" w:firstLine="611" w:firstLineChars="200"/>
        <w:textAlignment w:val="auto"/>
        <w:rPr>
          <w:rFonts w:hint="eastAsia" w:ascii="仿宋" w:hAnsi="仿宋" w:eastAsia="仿宋" w:cs="仿宋"/>
          <w:b/>
          <w:bCs/>
          <w:spacing w:val="-8"/>
          <w:sz w:val="32"/>
          <w:szCs w:val="32"/>
          <w:highlight w:val="none"/>
          <w:lang w:val="en-US" w:eastAsia="zh-CN"/>
        </w:rPr>
      </w:pPr>
      <w:r>
        <w:rPr>
          <w:rFonts w:hint="eastAsia" w:ascii="仿宋" w:hAnsi="仿宋" w:eastAsia="仿宋" w:cs="仿宋"/>
          <w:b/>
          <w:bCs/>
          <w:spacing w:val="-8"/>
          <w:sz w:val="32"/>
          <w:szCs w:val="32"/>
          <w:highlight w:val="none"/>
          <w:lang w:val="en-US" w:eastAsia="zh-CN"/>
        </w:rPr>
        <w:t>1.产出数量</w:t>
      </w:r>
      <w:r>
        <w:rPr>
          <w:rFonts w:hint="eastAsia" w:ascii="仿宋" w:hAnsi="仿宋" w:eastAsia="仿宋" w:cs="仿宋"/>
          <w:b/>
          <w:bCs/>
          <w:sz w:val="32"/>
          <w:szCs w:val="32"/>
          <w:highlight w:val="none"/>
          <w:lang w:val="en-US" w:eastAsia="zh-CN"/>
        </w:rPr>
        <w:t>（标准分10分，扣0分，得分10分）</w:t>
      </w:r>
    </w:p>
    <w:p>
      <w:pPr>
        <w:pStyle w:val="12"/>
        <w:keepNext w:val="0"/>
        <w:keepLines w:val="0"/>
        <w:pageBreakBefore w:val="0"/>
        <w:widowControl w:val="0"/>
        <w:shd w:val="clear"/>
        <w:kinsoku/>
        <w:wordWrap/>
        <w:overflowPunct/>
        <w:topLinePunct w:val="0"/>
        <w:autoSpaceDE/>
        <w:autoSpaceDN/>
        <w:bidi w:val="0"/>
        <w:adjustRightInd/>
        <w:snapToGrid/>
        <w:spacing w:beforeLines="0" w:afterLines="0" w:line="360" w:lineRule="auto"/>
        <w:ind w:left="0" w:firstLine="608"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b w:val="0"/>
          <w:bCs w:val="0"/>
          <w:spacing w:val="-8"/>
          <w:sz w:val="32"/>
          <w:szCs w:val="32"/>
          <w:highlight w:val="none"/>
          <w:lang w:val="en-US" w:eastAsia="zh-CN"/>
        </w:rPr>
        <w:t>已按项目实施计划数量完成</w:t>
      </w:r>
      <w:r>
        <w:rPr>
          <w:rFonts w:hint="eastAsia" w:ascii="仿宋" w:hAnsi="仿宋" w:eastAsia="仿宋" w:cs="仿宋"/>
          <w:sz w:val="32"/>
          <w:szCs w:val="32"/>
          <w:highlight w:val="none"/>
          <w:lang w:val="en-US" w:eastAsia="zh-CN"/>
        </w:rPr>
        <w:t>。</w:t>
      </w:r>
    </w:p>
    <w:p>
      <w:pPr>
        <w:pStyle w:val="12"/>
        <w:keepNext w:val="0"/>
        <w:keepLines w:val="0"/>
        <w:pageBreakBefore w:val="0"/>
        <w:widowControl w:val="0"/>
        <w:shd w:val="clear"/>
        <w:kinsoku/>
        <w:wordWrap/>
        <w:overflowPunct/>
        <w:topLinePunct w:val="0"/>
        <w:autoSpaceDE/>
        <w:autoSpaceDN/>
        <w:bidi w:val="0"/>
        <w:adjustRightInd/>
        <w:snapToGrid/>
        <w:spacing w:beforeLines="0" w:afterLines="0" w:line="360" w:lineRule="auto"/>
        <w:ind w:left="0" w:firstLine="611" w:firstLineChars="200"/>
        <w:textAlignment w:val="auto"/>
        <w:rPr>
          <w:rFonts w:hint="eastAsia" w:ascii="仿宋" w:hAnsi="仿宋" w:eastAsia="仿宋" w:cs="仿宋"/>
          <w:b/>
          <w:bCs/>
          <w:spacing w:val="-8"/>
          <w:sz w:val="32"/>
          <w:szCs w:val="32"/>
          <w:highlight w:val="none"/>
          <w:lang w:val="en-US" w:eastAsia="zh-CN"/>
        </w:rPr>
      </w:pPr>
      <w:r>
        <w:rPr>
          <w:rFonts w:hint="eastAsia" w:ascii="仿宋" w:hAnsi="仿宋" w:eastAsia="仿宋" w:cs="仿宋"/>
          <w:b/>
          <w:bCs/>
          <w:spacing w:val="-8"/>
          <w:sz w:val="32"/>
          <w:szCs w:val="32"/>
          <w:highlight w:val="none"/>
          <w:lang w:val="en-US" w:eastAsia="zh-CN"/>
        </w:rPr>
        <w:t>2.产出质量</w:t>
      </w:r>
      <w:r>
        <w:rPr>
          <w:rFonts w:hint="eastAsia" w:ascii="仿宋" w:hAnsi="仿宋" w:eastAsia="仿宋" w:cs="仿宋"/>
          <w:b/>
          <w:bCs/>
          <w:sz w:val="32"/>
          <w:szCs w:val="32"/>
          <w:highlight w:val="none"/>
          <w:lang w:val="en-US" w:eastAsia="zh-CN"/>
        </w:rPr>
        <w:t>（标准分9分，扣0分，得分9分）</w:t>
      </w:r>
    </w:p>
    <w:p>
      <w:pPr>
        <w:pStyle w:val="12"/>
        <w:keepNext w:val="0"/>
        <w:keepLines w:val="0"/>
        <w:pageBreakBefore w:val="0"/>
        <w:widowControl w:val="0"/>
        <w:shd w:val="clear"/>
        <w:kinsoku/>
        <w:wordWrap/>
        <w:overflowPunct/>
        <w:topLinePunct w:val="0"/>
        <w:autoSpaceDE/>
        <w:autoSpaceDN/>
        <w:bidi w:val="0"/>
        <w:adjustRightInd/>
        <w:snapToGrid/>
        <w:spacing w:beforeLines="0" w:afterLines="0" w:line="360" w:lineRule="auto"/>
        <w:ind w:left="0"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工程经验收质量合格。</w:t>
      </w:r>
    </w:p>
    <w:p>
      <w:pPr>
        <w:pStyle w:val="12"/>
        <w:keepNext w:val="0"/>
        <w:keepLines w:val="0"/>
        <w:pageBreakBefore w:val="0"/>
        <w:widowControl w:val="0"/>
        <w:shd w:val="clear"/>
        <w:kinsoku/>
        <w:wordWrap/>
        <w:overflowPunct/>
        <w:topLinePunct w:val="0"/>
        <w:autoSpaceDE/>
        <w:autoSpaceDN/>
        <w:bidi w:val="0"/>
        <w:adjustRightInd/>
        <w:snapToGrid/>
        <w:spacing w:beforeLines="0" w:afterLines="0" w:line="360" w:lineRule="auto"/>
        <w:ind w:left="0" w:firstLine="643" w:firstLineChars="200"/>
        <w:textAlignment w:val="auto"/>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3.产出成本（标准分7分，扣分3.82分，得3.18分）</w:t>
      </w:r>
    </w:p>
    <w:p>
      <w:pPr>
        <w:pStyle w:val="12"/>
        <w:keepNext w:val="0"/>
        <w:keepLines w:val="0"/>
        <w:pageBreakBefore w:val="0"/>
        <w:widowControl w:val="0"/>
        <w:shd w:val="clear"/>
        <w:kinsoku/>
        <w:wordWrap/>
        <w:overflowPunct/>
        <w:topLinePunct w:val="0"/>
        <w:autoSpaceDE/>
        <w:autoSpaceDN/>
        <w:bidi w:val="0"/>
        <w:adjustRightInd/>
        <w:snapToGrid/>
        <w:spacing w:beforeLines="0" w:afterLines="0" w:line="360" w:lineRule="auto"/>
        <w:ind w:left="0" w:firstLine="640" w:firstLineChars="200"/>
        <w:textAlignment w:val="auto"/>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结合项目实际工程建设成本情况分析：（计划建设成本金额2358.05万元-工程结算审定金额2807.67万元）/计划建设成本金额2358.05万元*100%=-19.1%，按照</w:t>
      </w:r>
      <w:r>
        <w:rPr>
          <w:rFonts w:hint="eastAsia" w:ascii="仿宋" w:hAnsi="仿宋" w:eastAsia="仿宋" w:cs="仿宋"/>
          <w:sz w:val="32"/>
          <w:szCs w:val="32"/>
          <w:highlight w:val="none"/>
          <w:lang w:val="en-US" w:eastAsia="zh-CN"/>
        </w:rPr>
        <w:t>“绩效评价指标表”</w:t>
      </w:r>
      <w:r>
        <w:rPr>
          <w:rFonts w:hint="eastAsia" w:ascii="仿宋" w:hAnsi="仿宋" w:eastAsia="仿宋" w:cs="仿宋"/>
          <w:b w:val="0"/>
          <w:bCs w:val="0"/>
          <w:sz w:val="32"/>
          <w:szCs w:val="32"/>
          <w:highlight w:val="none"/>
          <w:lang w:val="en-US" w:eastAsia="zh-CN"/>
        </w:rPr>
        <w:t>每超过计划建设成本金额5%扣1分，此项扣3.82分。</w:t>
      </w:r>
    </w:p>
    <w:p>
      <w:pPr>
        <w:pStyle w:val="12"/>
        <w:keepNext w:val="0"/>
        <w:keepLines w:val="0"/>
        <w:pageBreakBefore w:val="0"/>
        <w:widowControl w:val="0"/>
        <w:shd w:val="clear"/>
        <w:kinsoku/>
        <w:wordWrap/>
        <w:overflowPunct/>
        <w:topLinePunct w:val="0"/>
        <w:autoSpaceDE/>
        <w:autoSpaceDN/>
        <w:bidi w:val="0"/>
        <w:adjustRightInd/>
        <w:snapToGrid/>
        <w:spacing w:beforeLines="0" w:afterLines="0" w:line="360" w:lineRule="auto"/>
        <w:ind w:left="0" w:firstLine="643" w:firstLineChars="200"/>
        <w:textAlignment w:val="auto"/>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4.产出时效（标准分9分，扣3分，得6分）</w:t>
      </w:r>
    </w:p>
    <w:p>
      <w:pPr>
        <w:pStyle w:val="12"/>
        <w:keepNext w:val="0"/>
        <w:keepLines w:val="0"/>
        <w:pageBreakBefore w:val="0"/>
        <w:widowControl w:val="0"/>
        <w:shd w:val="clear"/>
        <w:kinsoku/>
        <w:wordWrap/>
        <w:overflowPunct/>
        <w:topLinePunct w:val="0"/>
        <w:autoSpaceDE/>
        <w:autoSpaceDN/>
        <w:bidi w:val="0"/>
        <w:adjustRightInd/>
        <w:snapToGrid/>
        <w:spacing w:beforeLines="0" w:afterLines="0" w:line="360" w:lineRule="auto"/>
        <w:ind w:left="0"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kern w:val="2"/>
          <w:sz w:val="32"/>
          <w:szCs w:val="32"/>
          <w:highlight w:val="none"/>
          <w:lang w:val="en-US" w:eastAsia="zh-CN" w:bidi="ar-SA"/>
        </w:rPr>
        <w:t>工程于2018年11月26日正式动工，2020年3月底完工，超出合同约定完工时间1年以上，未按项目实施计划完工，扣3分。</w:t>
      </w:r>
    </w:p>
    <w:p>
      <w:pPr>
        <w:pStyle w:val="12"/>
        <w:keepNext w:val="0"/>
        <w:keepLines w:val="0"/>
        <w:pageBreakBefore w:val="0"/>
        <w:widowControl w:val="0"/>
        <w:shd w:val="clear"/>
        <w:kinsoku/>
        <w:wordWrap/>
        <w:overflowPunct/>
        <w:topLinePunct w:val="0"/>
        <w:autoSpaceDE/>
        <w:autoSpaceDN/>
        <w:bidi w:val="0"/>
        <w:adjustRightInd/>
        <w:snapToGrid/>
        <w:spacing w:beforeLines="0" w:afterLines="0" w:line="360" w:lineRule="auto"/>
        <w:ind w:left="0" w:firstLine="643" w:firstLineChars="200"/>
        <w:textAlignment w:val="auto"/>
        <w:outlineLvl w:val="1"/>
        <w:rPr>
          <w:rFonts w:hint="eastAsia" w:ascii="楷体" w:hAnsi="楷体" w:eastAsia="楷体" w:cs="楷体"/>
          <w:b/>
          <w:bCs/>
          <w:sz w:val="32"/>
          <w:szCs w:val="32"/>
          <w:highlight w:val="none"/>
          <w:lang w:val="en-US" w:eastAsia="zh-CN"/>
        </w:rPr>
      </w:pPr>
      <w:bookmarkStart w:id="16" w:name="_Toc12690"/>
      <w:r>
        <w:rPr>
          <w:rFonts w:hint="eastAsia" w:ascii="楷体" w:hAnsi="楷体" w:eastAsia="楷体" w:cs="楷体"/>
          <w:b/>
          <w:bCs/>
          <w:sz w:val="32"/>
          <w:szCs w:val="32"/>
          <w:highlight w:val="none"/>
          <w:lang w:val="en-US" w:eastAsia="zh-CN"/>
        </w:rPr>
        <w:t>(四)项目效益情况</w:t>
      </w:r>
      <w:bookmarkEnd w:id="16"/>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right="0" w:rightChars="0"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项目支出效益包括经济效益、社会效益、可持续影响和满意度。该项满分为</w:t>
      </w:r>
      <w:r>
        <w:rPr>
          <w:rFonts w:hint="eastAsia" w:ascii="仿宋" w:hAnsi="仿宋" w:eastAsia="仿宋" w:cs="仿宋"/>
          <w:kern w:val="2"/>
          <w:sz w:val="32"/>
          <w:szCs w:val="32"/>
          <w:highlight w:val="none"/>
          <w:lang w:val="en-US" w:eastAsia="zh-CN" w:bidi="ar-SA"/>
        </w:rPr>
        <w:t>25分，扣4分，得分21</w:t>
      </w:r>
      <w:r>
        <w:rPr>
          <w:rFonts w:hint="eastAsia" w:ascii="仿宋" w:hAnsi="仿宋" w:eastAsia="仿宋" w:cs="仿宋"/>
          <w:sz w:val="32"/>
          <w:szCs w:val="32"/>
          <w:highlight w:val="none"/>
          <w:lang w:val="en-US" w:eastAsia="zh-CN"/>
        </w:rPr>
        <w:t>分。</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Chars="0" w:firstLine="643" w:firstLineChars="200"/>
        <w:jc w:val="both"/>
        <w:textAlignment w:val="auto"/>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1.经济效益（标准分10分，扣4分，得6分）</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因泵站系统不能查询日截流污水量数据，截止绩效评价现场考核日茶元头乡泵站截流污水量累计2414716吨，根据公司提供的市排水管理所对泵站的运行检查记录，2022年7月-11月泵站日截留污水量平均在2000-2800吨，未达到《关于湖南省邵阳市2019年“两供两治”专项债券项目收益与融资自求平衡专项审核报告》中计划泵站日截留污水量预期3500吨/日，按照“绩效评价指标表”中经济效益评价标准泵站日截留污水量平均2000-5000吨，为效益一般，扣4分。</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Chars="0" w:firstLine="643" w:firstLineChars="200"/>
        <w:jc w:val="both"/>
        <w:textAlignment w:val="auto"/>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2.社会效益、可持续影响、满意度（标准分15分，扣0分，得分15分）</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pacing w:val="-8"/>
          <w:sz w:val="32"/>
          <w:szCs w:val="32"/>
          <w:highlight w:val="none"/>
          <w:lang w:eastAsia="zh-CN"/>
        </w:rPr>
      </w:pPr>
      <w:r>
        <w:rPr>
          <w:rFonts w:hint="eastAsia" w:ascii="仿宋" w:hAnsi="仿宋" w:eastAsia="仿宋" w:cs="仿宋"/>
          <w:sz w:val="32"/>
          <w:szCs w:val="32"/>
          <w:highlight w:val="none"/>
        </w:rPr>
        <w:t>项目的建设符合邵阳市城市总体发展规划，建设的必要性明确</w:t>
      </w:r>
      <w:r>
        <w:rPr>
          <w:rFonts w:hint="eastAsia" w:ascii="仿宋" w:hAnsi="仿宋" w:eastAsia="仿宋" w:cs="仿宋"/>
          <w:sz w:val="32"/>
          <w:szCs w:val="32"/>
          <w:highlight w:val="none"/>
          <w:lang w:eastAsia="zh-CN"/>
        </w:rPr>
        <w:t>，对城市经济效益、社会效益、</w:t>
      </w:r>
      <w:r>
        <w:rPr>
          <w:rFonts w:hint="eastAsia" w:ascii="仿宋" w:hAnsi="仿宋" w:eastAsia="仿宋" w:cs="仿宋"/>
          <w:sz w:val="32"/>
          <w:szCs w:val="32"/>
          <w:highlight w:val="none"/>
          <w:lang w:val="en-US" w:eastAsia="zh-CN"/>
        </w:rPr>
        <w:t>可持续影响起到一定的间接作用，</w:t>
      </w:r>
      <w:r>
        <w:rPr>
          <w:rFonts w:hint="eastAsia" w:ascii="仿宋" w:hAnsi="仿宋" w:eastAsia="仿宋" w:cs="仿宋"/>
          <w:sz w:val="32"/>
          <w:szCs w:val="32"/>
          <w:highlight w:val="none"/>
          <w:lang w:eastAsia="zh-CN"/>
        </w:rPr>
        <w:t>通过项目的实施</w:t>
      </w:r>
      <w:r>
        <w:rPr>
          <w:rFonts w:hint="eastAsia" w:ascii="仿宋" w:hAnsi="仿宋" w:eastAsia="仿宋" w:cs="仿宋"/>
          <w:kern w:val="2"/>
          <w:sz w:val="32"/>
          <w:szCs w:val="32"/>
          <w:highlight w:val="none"/>
          <w:lang w:val="en-US" w:eastAsia="zh-CN" w:bidi="ar-SA"/>
        </w:rPr>
        <w:t>降低因渗透对地下水资源的污染，</w:t>
      </w:r>
      <w:r>
        <w:rPr>
          <w:rFonts w:hint="eastAsia" w:ascii="仿宋" w:hAnsi="仿宋" w:eastAsia="仿宋" w:cs="仿宋"/>
          <w:b w:val="0"/>
          <w:bCs w:val="0"/>
          <w:kern w:val="2"/>
          <w:sz w:val="32"/>
          <w:szCs w:val="32"/>
          <w:highlight w:val="none"/>
          <w:lang w:val="en-US" w:eastAsia="zh-CN" w:bidi="ar-SA"/>
        </w:rPr>
        <w:t>解决流域内污水出路问题，污水经过处理达到标准后排放，改善区域水环境和生态环境，为城市发展创造良好的投资环境，增加区域就业机会</w:t>
      </w:r>
      <w:r>
        <w:rPr>
          <w:rFonts w:hint="eastAsia" w:ascii="仿宋" w:hAnsi="仿宋" w:eastAsia="仿宋" w:cs="仿宋"/>
          <w:kern w:val="2"/>
          <w:sz w:val="32"/>
          <w:szCs w:val="32"/>
          <w:highlight w:val="none"/>
          <w:lang w:val="en-US" w:eastAsia="zh-CN" w:bidi="ar-SA"/>
        </w:rPr>
        <w:t>，使人民更加安居乐业，促进社会安定团结。</w:t>
      </w:r>
      <w:r>
        <w:rPr>
          <w:rFonts w:hint="eastAsia" w:ascii="仿宋" w:hAnsi="仿宋" w:eastAsia="仿宋" w:cs="仿宋"/>
          <w:sz w:val="32"/>
          <w:szCs w:val="32"/>
          <w:highlight w:val="none"/>
        </w:rPr>
        <w:t>本次现场</w:t>
      </w:r>
      <w:r>
        <w:rPr>
          <w:rFonts w:hint="eastAsia" w:ascii="仿宋" w:hAnsi="仿宋" w:eastAsia="仿宋" w:cs="仿宋"/>
          <w:sz w:val="32"/>
          <w:szCs w:val="32"/>
          <w:highlight w:val="none"/>
          <w:lang w:val="en-US" w:eastAsia="zh-CN"/>
        </w:rPr>
        <w:t>评价</w:t>
      </w:r>
      <w:r>
        <w:rPr>
          <w:rFonts w:hint="eastAsia" w:ascii="仿宋" w:hAnsi="仿宋" w:eastAsia="仿宋" w:cs="仿宋"/>
          <w:sz w:val="32"/>
          <w:szCs w:val="32"/>
          <w:highlight w:val="none"/>
        </w:rPr>
        <w:t>发放调查问卷30份，被调查对象满意度在</w:t>
      </w:r>
      <w:r>
        <w:rPr>
          <w:rFonts w:hint="eastAsia" w:ascii="仿宋" w:hAnsi="仿宋" w:eastAsia="仿宋" w:cs="仿宋"/>
          <w:sz w:val="32"/>
          <w:szCs w:val="32"/>
          <w:highlight w:val="none"/>
          <w:lang w:val="en-US" w:eastAsia="zh-CN"/>
        </w:rPr>
        <w:t>94</w:t>
      </w:r>
      <w:r>
        <w:rPr>
          <w:rFonts w:hint="eastAsia" w:ascii="仿宋" w:hAnsi="仿宋" w:eastAsia="仿宋" w:cs="仿宋"/>
          <w:sz w:val="32"/>
          <w:szCs w:val="32"/>
          <w:highlight w:val="none"/>
        </w:rPr>
        <w:t>%。</w:t>
      </w:r>
    </w:p>
    <w:p>
      <w:pPr>
        <w:keepNext w:val="0"/>
        <w:keepLines w:val="0"/>
        <w:pageBreakBefore w:val="0"/>
        <w:widowControl w:val="0"/>
        <w:shd w:val="clear"/>
        <w:kinsoku/>
        <w:wordWrap/>
        <w:overflowPunct/>
        <w:topLinePunct w:val="0"/>
        <w:autoSpaceDE/>
        <w:autoSpaceDN/>
        <w:bidi w:val="0"/>
        <w:adjustRightInd/>
        <w:snapToGrid/>
        <w:spacing w:line="360" w:lineRule="auto"/>
        <w:ind w:firstLine="640" w:firstLineChars="200"/>
        <w:textAlignment w:val="auto"/>
        <w:outlineLvl w:val="0"/>
        <w:rPr>
          <w:rFonts w:hint="eastAsia" w:ascii="黑体" w:hAnsi="黑体" w:eastAsia="黑体" w:cs="黑体"/>
          <w:kern w:val="0"/>
          <w:sz w:val="32"/>
          <w:szCs w:val="32"/>
          <w:highlight w:val="none"/>
          <w:lang w:eastAsia="zh-CN"/>
        </w:rPr>
      </w:pPr>
      <w:bookmarkStart w:id="17" w:name="_Toc390267055"/>
      <w:bookmarkStart w:id="18" w:name="_Toc390096931"/>
      <w:bookmarkStart w:id="19" w:name="_Toc24241"/>
      <w:r>
        <w:rPr>
          <w:rFonts w:hint="eastAsia" w:ascii="黑体" w:hAnsi="黑体" w:eastAsia="黑体" w:cs="黑体"/>
          <w:kern w:val="0"/>
          <w:sz w:val="32"/>
          <w:szCs w:val="32"/>
          <w:highlight w:val="none"/>
          <w:lang w:eastAsia="zh-CN"/>
        </w:rPr>
        <w:t>五</w:t>
      </w:r>
      <w:r>
        <w:rPr>
          <w:rFonts w:hint="eastAsia" w:ascii="黑体" w:hAnsi="黑体" w:eastAsia="黑体" w:cs="黑体"/>
          <w:kern w:val="0"/>
          <w:sz w:val="32"/>
          <w:szCs w:val="32"/>
          <w:highlight w:val="none"/>
        </w:rPr>
        <w:t>、项目主要经验、存在的问题</w:t>
      </w:r>
      <w:bookmarkEnd w:id="17"/>
      <w:bookmarkEnd w:id="18"/>
      <w:r>
        <w:rPr>
          <w:rFonts w:hint="eastAsia" w:ascii="黑体" w:hAnsi="黑体" w:eastAsia="黑体" w:cs="黑体"/>
          <w:kern w:val="0"/>
          <w:sz w:val="32"/>
          <w:szCs w:val="32"/>
          <w:highlight w:val="none"/>
          <w:lang w:eastAsia="zh-CN"/>
        </w:rPr>
        <w:t>及建议</w:t>
      </w:r>
      <w:bookmarkEnd w:id="19"/>
    </w:p>
    <w:p>
      <w:pPr>
        <w:keepNext w:val="0"/>
        <w:keepLines w:val="0"/>
        <w:pageBreakBefore w:val="0"/>
        <w:widowControl w:val="0"/>
        <w:shd w:val="clear"/>
        <w:kinsoku/>
        <w:wordWrap/>
        <w:overflowPunct/>
        <w:topLinePunct w:val="0"/>
        <w:autoSpaceDE/>
        <w:autoSpaceDN/>
        <w:bidi w:val="0"/>
        <w:adjustRightInd/>
        <w:snapToGrid/>
        <w:spacing w:line="360" w:lineRule="auto"/>
        <w:ind w:firstLine="643" w:firstLineChars="200"/>
        <w:textAlignment w:val="auto"/>
        <w:outlineLvl w:val="1"/>
        <w:rPr>
          <w:rFonts w:hint="eastAsia" w:ascii="楷体" w:hAnsi="楷体" w:eastAsia="楷体" w:cs="楷体"/>
          <w:b/>
          <w:bCs/>
          <w:sz w:val="32"/>
          <w:szCs w:val="32"/>
          <w:highlight w:val="none"/>
        </w:rPr>
      </w:pPr>
      <w:bookmarkStart w:id="20" w:name="_Toc23434"/>
      <w:r>
        <w:rPr>
          <w:rFonts w:hint="eastAsia" w:ascii="楷体" w:hAnsi="楷体" w:eastAsia="楷体" w:cs="楷体"/>
          <w:b/>
          <w:bCs/>
          <w:sz w:val="32"/>
          <w:szCs w:val="32"/>
          <w:highlight w:val="none"/>
        </w:rPr>
        <w:t>（一）项目主要经验</w:t>
      </w:r>
      <w:bookmarkEnd w:id="20"/>
    </w:p>
    <w:p>
      <w:pPr>
        <w:keepNext w:val="0"/>
        <w:keepLines w:val="0"/>
        <w:pageBreakBefore w:val="0"/>
        <w:widowControl w:val="0"/>
        <w:shd w:val="clear"/>
        <w:kinsoku/>
        <w:wordWrap/>
        <w:overflowPunct/>
        <w:topLinePunct w:val="0"/>
        <w:autoSpaceDE/>
        <w:autoSpaceDN/>
        <w:bidi w:val="0"/>
        <w:adjustRightInd/>
        <w:snapToGrid/>
        <w:spacing w:line="360" w:lineRule="auto"/>
        <w:ind w:firstLine="643" w:firstLineChars="200"/>
        <w:textAlignment w:val="auto"/>
        <w:rPr>
          <w:rFonts w:hint="eastAsia" w:ascii="仿宋" w:hAnsi="仿宋" w:eastAsia="仿宋" w:cs="仿宋"/>
          <w:b w:val="0"/>
          <w:bCs w:val="0"/>
          <w:sz w:val="32"/>
          <w:szCs w:val="32"/>
          <w:highlight w:val="none"/>
          <w:lang w:eastAsia="zh-CN"/>
        </w:rPr>
      </w:pPr>
      <w:r>
        <w:rPr>
          <w:rFonts w:hint="eastAsia" w:ascii="仿宋" w:hAnsi="仿宋" w:eastAsia="仿宋" w:cs="仿宋"/>
          <w:b/>
          <w:bCs/>
          <w:sz w:val="32"/>
          <w:szCs w:val="32"/>
          <w:highlight w:val="none"/>
          <w:lang w:val="en-US" w:eastAsia="zh-CN"/>
        </w:rPr>
        <w:t>1.</w:t>
      </w:r>
      <w:r>
        <w:rPr>
          <w:rFonts w:hint="eastAsia" w:ascii="仿宋" w:hAnsi="仿宋" w:eastAsia="仿宋" w:cs="仿宋"/>
          <w:b/>
          <w:bCs/>
          <w:sz w:val="32"/>
          <w:szCs w:val="32"/>
          <w:highlight w:val="none"/>
        </w:rPr>
        <w:t>项目的立项、论证符合法律、法规要求，按相关程序操作。做到立项有依据</w:t>
      </w:r>
      <w:r>
        <w:rPr>
          <w:rFonts w:hint="eastAsia" w:ascii="仿宋" w:hAnsi="仿宋" w:eastAsia="仿宋" w:cs="仿宋"/>
          <w:b/>
          <w:bCs/>
          <w:sz w:val="32"/>
          <w:szCs w:val="32"/>
          <w:highlight w:val="none"/>
          <w:lang w:eastAsia="zh-CN"/>
        </w:rPr>
        <w:t>。</w:t>
      </w:r>
      <w:r>
        <w:rPr>
          <w:rFonts w:hint="eastAsia" w:ascii="仿宋" w:hAnsi="仿宋" w:eastAsia="仿宋" w:cs="仿宋"/>
          <w:b w:val="0"/>
          <w:bCs w:val="0"/>
          <w:sz w:val="32"/>
          <w:szCs w:val="32"/>
          <w:highlight w:val="none"/>
          <w:lang w:eastAsia="zh-CN"/>
        </w:rPr>
        <w:t>①准确选定满足债券发行条件与要求的具体项目，准备好项目批复、可行性研究报告等相关支撑材料，取得相关主管部门批复，如立项、可研、环评等，项目基本具备施工条件；②该项目满足收益与融资自求平衡原则，项目收益能够覆盖债券本息，项目资本金比例符合国家固定资产投资项目资本金比例要求，保证项目融资不存在违规增加地方政府隐性债务；③引入第三方机构开展评估，出具项目收益专项债券的项目实施方案、财务评估报告、法律意见书等相关材料。</w:t>
      </w:r>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firstLine="643" w:firstLineChars="200"/>
        <w:textAlignment w:val="auto"/>
        <w:rPr>
          <w:rFonts w:hint="eastAsia" w:ascii="仿宋" w:hAnsi="仿宋" w:eastAsia="仿宋" w:cs="仿宋"/>
          <w:sz w:val="32"/>
          <w:szCs w:val="32"/>
          <w:highlight w:val="none"/>
          <w:lang w:eastAsia="zh-CN"/>
        </w:rPr>
      </w:pPr>
      <w:r>
        <w:rPr>
          <w:rFonts w:hint="eastAsia" w:ascii="仿宋" w:hAnsi="仿宋" w:eastAsia="仿宋" w:cs="仿宋"/>
          <w:b/>
          <w:bCs/>
          <w:sz w:val="32"/>
          <w:szCs w:val="32"/>
          <w:highlight w:val="none"/>
          <w:lang w:val="en-US" w:eastAsia="zh-CN"/>
        </w:rPr>
        <w:t>2.</w:t>
      </w:r>
      <w:r>
        <w:rPr>
          <w:rFonts w:hint="eastAsia" w:ascii="仿宋" w:hAnsi="仿宋" w:eastAsia="仿宋" w:cs="仿宋"/>
          <w:b/>
          <w:bCs/>
          <w:sz w:val="32"/>
          <w:szCs w:val="32"/>
          <w:highlight w:val="none"/>
        </w:rPr>
        <w:t>加强项目管理、确保项目达标。</w:t>
      </w:r>
      <w:r>
        <w:rPr>
          <w:rFonts w:hint="eastAsia" w:ascii="仿宋" w:hAnsi="仿宋" w:eastAsia="仿宋" w:cs="仿宋"/>
          <w:sz w:val="32"/>
          <w:szCs w:val="32"/>
          <w:highlight w:val="none"/>
        </w:rPr>
        <w:t>对项目</w:t>
      </w:r>
      <w:r>
        <w:rPr>
          <w:rFonts w:hint="eastAsia" w:ascii="仿宋" w:hAnsi="仿宋" w:eastAsia="仿宋" w:cs="仿宋"/>
          <w:sz w:val="32"/>
          <w:szCs w:val="32"/>
          <w:highlight w:val="none"/>
          <w:lang w:eastAsia="zh-CN"/>
        </w:rPr>
        <w:t>实施从预算、财评、监理、验收方面严格把关，执行招标程序</w:t>
      </w:r>
      <w:r>
        <w:rPr>
          <w:rFonts w:hint="eastAsia" w:ascii="仿宋" w:hAnsi="仿宋" w:eastAsia="仿宋" w:cs="仿宋"/>
          <w:sz w:val="32"/>
          <w:szCs w:val="32"/>
          <w:highlight w:val="none"/>
        </w:rPr>
        <w:t>。对项目资金做到专款专用，资金拨付程序规范</w:t>
      </w:r>
      <w:r>
        <w:rPr>
          <w:rFonts w:hint="eastAsia" w:ascii="仿宋" w:hAnsi="仿宋" w:eastAsia="仿宋" w:cs="仿宋"/>
          <w:sz w:val="32"/>
          <w:szCs w:val="32"/>
          <w:highlight w:val="none"/>
          <w:lang w:eastAsia="zh-CN"/>
        </w:rPr>
        <w:t>。项目实施要严格遵守环保、用地、节能、质量、安全等相关规定，依法依规组织建设、运营和管理工作。</w:t>
      </w:r>
    </w:p>
    <w:p>
      <w:pPr>
        <w:pStyle w:val="4"/>
        <w:keepNext w:val="0"/>
        <w:keepLines w:val="0"/>
        <w:pageBreakBefore w:val="0"/>
        <w:widowControl w:val="0"/>
        <w:kinsoku/>
        <w:wordWrap/>
        <w:overflowPunct/>
        <w:topLinePunct w:val="0"/>
        <w:autoSpaceDE/>
        <w:autoSpaceDN/>
        <w:bidi w:val="0"/>
        <w:adjustRightInd/>
        <w:snapToGrid/>
        <w:spacing w:before="0" w:after="0" w:line="360" w:lineRule="auto"/>
        <w:ind w:firstLine="643" w:firstLineChars="200"/>
        <w:textAlignment w:val="auto"/>
        <w:rPr>
          <w:rFonts w:hint="default"/>
          <w:highlight w:val="none"/>
          <w:lang w:val="en-US" w:eastAsia="zh-CN"/>
        </w:rPr>
      </w:pPr>
      <w:r>
        <w:rPr>
          <w:rFonts w:hint="eastAsia" w:ascii="仿宋" w:hAnsi="仿宋" w:eastAsia="仿宋" w:cs="仿宋"/>
          <w:b/>
          <w:bCs/>
          <w:sz w:val="32"/>
          <w:szCs w:val="32"/>
          <w:highlight w:val="none"/>
          <w:lang w:val="en-US" w:eastAsia="zh-CN"/>
        </w:rPr>
        <w:t>3.项目的实施运营，极大优化了周边水域污水处理效能。</w:t>
      </w:r>
      <w:r>
        <w:rPr>
          <w:rFonts w:hint="eastAsia" w:ascii="仿宋" w:hAnsi="仿宋" w:eastAsia="仿宋" w:cs="仿宋"/>
          <w:sz w:val="32"/>
          <w:szCs w:val="32"/>
          <w:highlight w:val="none"/>
          <w:lang w:val="en-US" w:eastAsia="zh-CN"/>
        </w:rPr>
        <w:t>本项目是一项有综合效益的民生工程，项目通过建设和完善区域内的雨污水主次干管及相关基础配套设施，提高污水收集率，提升污水处理厂效能，项目结合初期雨水治理、黑臭水体治理和排水防涝等其他相关工程措施，控制污染物排放总量，改善城市水环境质量，改善区域内居民的生活环境，推进城市可持续发展。</w:t>
      </w:r>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firstLine="643" w:firstLineChars="200"/>
        <w:textAlignment w:val="auto"/>
        <w:outlineLvl w:val="1"/>
        <w:rPr>
          <w:rFonts w:hint="eastAsia" w:ascii="楷体" w:hAnsi="楷体" w:eastAsia="楷体" w:cs="楷体"/>
          <w:b/>
          <w:bCs/>
          <w:sz w:val="32"/>
          <w:szCs w:val="32"/>
          <w:highlight w:val="none"/>
        </w:rPr>
      </w:pPr>
      <w:bookmarkStart w:id="21" w:name="_Toc6772"/>
      <w:r>
        <w:rPr>
          <w:rFonts w:hint="eastAsia" w:ascii="楷体" w:hAnsi="楷体" w:eastAsia="楷体" w:cs="楷体"/>
          <w:b/>
          <w:bCs/>
          <w:sz w:val="32"/>
          <w:szCs w:val="32"/>
          <w:highlight w:val="none"/>
        </w:rPr>
        <w:t>（二）存在的问题</w:t>
      </w:r>
      <w:bookmarkEnd w:id="21"/>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firstLine="643" w:firstLineChars="200"/>
        <w:textAlignment w:val="auto"/>
        <w:outlineLvl w:val="2"/>
        <w:rPr>
          <w:rFonts w:hint="eastAsia" w:ascii="仿宋" w:hAnsi="仿宋" w:eastAsia="仿宋" w:cs="仿宋"/>
          <w:b/>
          <w:bCs/>
          <w:sz w:val="32"/>
          <w:szCs w:val="32"/>
          <w:highlight w:val="none"/>
          <w:lang w:val="en-US" w:eastAsia="zh-CN"/>
        </w:rPr>
      </w:pPr>
      <w:bookmarkStart w:id="22" w:name="_Toc21507"/>
      <w:r>
        <w:rPr>
          <w:rFonts w:hint="eastAsia" w:ascii="仿宋" w:hAnsi="仿宋" w:eastAsia="仿宋" w:cs="仿宋"/>
          <w:b/>
          <w:bCs/>
          <w:sz w:val="32"/>
          <w:szCs w:val="32"/>
          <w:highlight w:val="none"/>
        </w:rPr>
        <w:t>1</w:t>
      </w:r>
      <w:r>
        <w:rPr>
          <w:rFonts w:hint="eastAsia" w:ascii="仿宋" w:hAnsi="仿宋" w:eastAsia="仿宋" w:cs="仿宋"/>
          <w:b/>
          <w:bCs/>
          <w:sz w:val="32"/>
          <w:szCs w:val="32"/>
          <w:highlight w:val="none"/>
          <w:lang w:val="en-US" w:eastAsia="zh-CN"/>
        </w:rPr>
        <w:t>.</w:t>
      </w:r>
      <w:r>
        <w:rPr>
          <w:rFonts w:hint="eastAsia" w:ascii="仿宋" w:hAnsi="仿宋" w:eastAsia="仿宋" w:cs="仿宋"/>
          <w:b/>
          <w:bCs/>
          <w:sz w:val="32"/>
          <w:szCs w:val="32"/>
          <w:highlight w:val="none"/>
          <w:lang w:eastAsia="zh-CN"/>
        </w:rPr>
        <w:t>未设置清晰、细化、可衡量的绩效目标</w:t>
      </w:r>
      <w:bookmarkEnd w:id="22"/>
      <w:r>
        <w:rPr>
          <w:rFonts w:hint="eastAsia" w:ascii="仿宋" w:hAnsi="仿宋" w:eastAsia="仿宋" w:cs="仿宋"/>
          <w:b/>
          <w:bCs/>
          <w:sz w:val="32"/>
          <w:szCs w:val="32"/>
          <w:highlight w:val="none"/>
          <w:lang w:eastAsia="zh-CN"/>
        </w:rPr>
        <w:t>。</w:t>
      </w:r>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eastAsia="zh-CN"/>
        </w:rPr>
        <w:t>项目实施单位的预算绩效目标管理意识不强，对预算绩效目标管理工作重视不够，项目的可研报告、申报批复文件等仅有泛化的建设内容，未针对本项目及时编报整体绩效目标和年度绩效目标，未设置清晰、可衡量、反映产出效益和效果的的目标指标值。</w:t>
      </w:r>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firstLine="643" w:firstLineChars="200"/>
        <w:textAlignment w:val="auto"/>
        <w:rPr>
          <w:rFonts w:hint="eastAsia" w:ascii="仿宋" w:hAnsi="仿宋" w:eastAsia="仿宋" w:cs="仿宋"/>
          <w:b/>
          <w:bCs/>
          <w:sz w:val="32"/>
          <w:szCs w:val="32"/>
          <w:highlight w:val="none"/>
          <w:lang w:val="en-US" w:eastAsia="zh-CN"/>
        </w:rPr>
      </w:pPr>
      <w:bookmarkStart w:id="23" w:name="_Toc31859"/>
      <w:r>
        <w:rPr>
          <w:rFonts w:hint="eastAsia" w:ascii="仿宋" w:hAnsi="仿宋" w:eastAsia="仿宋" w:cs="仿宋"/>
          <w:b/>
          <w:bCs/>
          <w:sz w:val="32"/>
          <w:szCs w:val="32"/>
          <w:highlight w:val="none"/>
          <w:lang w:val="en-US" w:eastAsia="zh-CN"/>
        </w:rPr>
        <w:t>2.</w:t>
      </w:r>
      <w:bookmarkEnd w:id="23"/>
      <w:r>
        <w:rPr>
          <w:rFonts w:hint="eastAsia" w:ascii="仿宋" w:hAnsi="仿宋" w:eastAsia="仿宋" w:cs="仿宋"/>
          <w:b/>
          <w:bCs/>
          <w:sz w:val="32"/>
          <w:szCs w:val="32"/>
          <w:highlight w:val="none"/>
          <w:lang w:val="en-US" w:eastAsia="zh-CN"/>
        </w:rPr>
        <w:t>项目管理不严谨。</w:t>
      </w:r>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公司未制定项目管理制度，项目实施过程中存在项目现场管理不严谨、签证事项不到位等情况，如管网回填材料发生变化没有现场确认资料。</w:t>
      </w:r>
    </w:p>
    <w:p>
      <w:pPr>
        <w:keepNext w:val="0"/>
        <w:keepLines w:val="0"/>
        <w:pageBreakBefore w:val="0"/>
        <w:widowControl w:val="0"/>
        <w:shd w:val="clear"/>
        <w:kinsoku/>
        <w:wordWrap/>
        <w:overflowPunct/>
        <w:topLinePunct w:val="0"/>
        <w:autoSpaceDE/>
        <w:autoSpaceDN/>
        <w:bidi w:val="0"/>
        <w:adjustRightInd/>
        <w:snapToGrid/>
        <w:spacing w:line="360" w:lineRule="auto"/>
        <w:ind w:left="0" w:firstLine="643" w:firstLineChars="200"/>
        <w:textAlignment w:val="auto"/>
        <w:rPr>
          <w:rFonts w:hint="eastAsia" w:ascii="仿宋" w:hAnsi="仿宋" w:eastAsia="仿宋" w:cs="仿宋"/>
          <w:b/>
          <w:bCs/>
          <w:sz w:val="32"/>
          <w:szCs w:val="32"/>
          <w:highlight w:val="none"/>
          <w:lang w:val="en-US" w:eastAsia="zh-CN"/>
        </w:rPr>
      </w:pPr>
      <w:bookmarkStart w:id="24" w:name="_Toc23138"/>
      <w:r>
        <w:rPr>
          <w:rFonts w:hint="eastAsia" w:ascii="仿宋" w:hAnsi="仿宋" w:eastAsia="仿宋" w:cs="仿宋"/>
          <w:b/>
          <w:bCs/>
          <w:sz w:val="32"/>
          <w:szCs w:val="32"/>
          <w:highlight w:val="none"/>
          <w:lang w:val="en-US" w:eastAsia="zh-CN"/>
        </w:rPr>
        <w:t>3.</w:t>
      </w:r>
      <w:bookmarkEnd w:id="24"/>
      <w:r>
        <w:rPr>
          <w:rFonts w:hint="eastAsia" w:ascii="仿宋" w:hAnsi="仿宋" w:eastAsia="仿宋" w:cs="仿宋"/>
          <w:b/>
          <w:bCs/>
          <w:sz w:val="32"/>
          <w:szCs w:val="32"/>
          <w:highlight w:val="none"/>
          <w:lang w:val="en-US" w:eastAsia="zh-CN"/>
        </w:rPr>
        <w:t>未正式出台债务风险应对预案和社会稳定风险应对预案。</w:t>
      </w:r>
    </w:p>
    <w:p>
      <w:pPr>
        <w:keepNext w:val="0"/>
        <w:keepLines w:val="0"/>
        <w:pageBreakBefore w:val="0"/>
        <w:widowControl w:val="0"/>
        <w:shd w:val="clear"/>
        <w:kinsoku/>
        <w:wordWrap/>
        <w:overflowPunct/>
        <w:topLinePunct w:val="0"/>
        <w:autoSpaceDE/>
        <w:autoSpaceDN/>
        <w:bidi w:val="0"/>
        <w:adjustRightInd/>
        <w:snapToGrid/>
        <w:spacing w:line="360" w:lineRule="auto"/>
        <w:ind w:left="0"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公司对政府债务项目欠缺</w:t>
      </w:r>
      <w:r>
        <w:rPr>
          <w:rFonts w:hint="eastAsia" w:ascii="仿宋" w:hAnsi="仿宋" w:eastAsia="仿宋" w:cs="仿宋"/>
          <w:b w:val="0"/>
          <w:bCs w:val="0"/>
          <w:sz w:val="32"/>
          <w:szCs w:val="32"/>
          <w:highlight w:val="none"/>
          <w:lang w:eastAsia="zh-CN"/>
        </w:rPr>
        <w:t>防范风险管控意识，</w:t>
      </w:r>
      <w:r>
        <w:rPr>
          <w:rFonts w:hint="eastAsia" w:ascii="仿宋" w:hAnsi="仿宋" w:eastAsia="仿宋" w:cs="仿宋"/>
          <w:sz w:val="32"/>
          <w:szCs w:val="32"/>
          <w:highlight w:val="none"/>
          <w:lang w:val="en-US" w:eastAsia="zh-CN"/>
        </w:rPr>
        <w:t>未建立债务风险动态监测机制以及防范应对措施，未建立债务风险应对预案和社会稳定风险应对预案。</w:t>
      </w:r>
    </w:p>
    <w:p>
      <w:pPr>
        <w:pStyle w:val="12"/>
        <w:keepNext w:val="0"/>
        <w:keepLines w:val="0"/>
        <w:pageBreakBefore w:val="0"/>
        <w:widowControl w:val="0"/>
        <w:shd w:val="clear"/>
        <w:kinsoku/>
        <w:wordWrap/>
        <w:overflowPunct/>
        <w:topLinePunct w:val="0"/>
        <w:autoSpaceDE/>
        <w:autoSpaceDN/>
        <w:bidi w:val="0"/>
        <w:adjustRightInd/>
        <w:snapToGrid/>
        <w:spacing w:beforeLines="0" w:afterLines="0" w:line="360" w:lineRule="auto"/>
        <w:ind w:left="0" w:firstLine="643" w:firstLineChars="200"/>
        <w:textAlignment w:val="auto"/>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4.项目预算不精准、工程造价增加未按规定进行报批。</w:t>
      </w:r>
    </w:p>
    <w:p>
      <w:pPr>
        <w:pStyle w:val="12"/>
        <w:keepNext w:val="0"/>
        <w:keepLines w:val="0"/>
        <w:pageBreakBefore w:val="0"/>
        <w:widowControl w:val="0"/>
        <w:shd w:val="clear"/>
        <w:kinsoku/>
        <w:wordWrap/>
        <w:overflowPunct/>
        <w:topLinePunct w:val="0"/>
        <w:autoSpaceDE/>
        <w:autoSpaceDN/>
        <w:bidi w:val="0"/>
        <w:adjustRightInd/>
        <w:snapToGrid/>
        <w:spacing w:beforeLines="0" w:afterLines="0" w:line="360" w:lineRule="auto"/>
        <w:ind w:left="0"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b w:val="0"/>
          <w:bCs w:val="0"/>
          <w:sz w:val="32"/>
          <w:szCs w:val="32"/>
          <w:highlight w:val="none"/>
          <w:lang w:val="en-US" w:eastAsia="zh-CN"/>
        </w:rPr>
        <w:t>茶元头乡污水截流工程项目中标合同金额为23,580,461.20元，邵阳市公用事业基础设施建设有限公司报送湖南望新建设集团股份有限公司施工的工程结算送审金额39,026,464.86元，经邵阳市审计局审核，该工程存在多报送工程结算造价10,949,813.56元予以核减，审减后工程结算造价金额为28,076,651.30元，超过项目中标合同金额4,496,190.1元，超过率19.1%，未执行工程造价变更报批手续。上述行为违反了市政发[2014]6号《邵阳市市级重点建设项目管理办法》第十条工程变更管理：“单项变更在100万元以上且在总造价5%以内的由市政府分管领导指挥部集体研究同意”的规定，根据中华人民共和国国务院令第427号《财政违法行为处罚处分条例》第九条规定，责令邵阳市公用事业基础设施建设有限公司加强内部管理并依法依规追究责任人员责任。</w:t>
      </w:r>
      <w:bookmarkStart w:id="25" w:name="_Toc29278"/>
    </w:p>
    <w:p>
      <w:pPr>
        <w:keepNext w:val="0"/>
        <w:keepLines w:val="0"/>
        <w:pageBreakBefore w:val="0"/>
        <w:widowControl w:val="0"/>
        <w:shd w:val="clear"/>
        <w:kinsoku/>
        <w:wordWrap/>
        <w:overflowPunct/>
        <w:topLinePunct w:val="0"/>
        <w:autoSpaceDE/>
        <w:autoSpaceDN/>
        <w:bidi w:val="0"/>
        <w:adjustRightInd/>
        <w:snapToGrid/>
        <w:spacing w:line="360" w:lineRule="auto"/>
        <w:ind w:left="0" w:leftChars="0" w:firstLine="643" w:firstLineChars="200"/>
        <w:textAlignment w:val="auto"/>
        <w:outlineLvl w:val="1"/>
        <w:rPr>
          <w:rFonts w:hint="eastAsia" w:ascii="楷体" w:hAnsi="楷体" w:eastAsia="楷体" w:cs="楷体"/>
          <w:b/>
          <w:bCs/>
          <w:sz w:val="32"/>
          <w:szCs w:val="32"/>
          <w:highlight w:val="none"/>
          <w:lang w:val="en-US" w:eastAsia="zh-CN"/>
        </w:rPr>
      </w:pPr>
      <w:r>
        <w:rPr>
          <w:rFonts w:hint="eastAsia" w:ascii="楷体" w:hAnsi="楷体" w:eastAsia="楷体" w:cs="楷体"/>
          <w:b/>
          <w:bCs/>
          <w:sz w:val="32"/>
          <w:szCs w:val="32"/>
          <w:highlight w:val="none"/>
          <w:lang w:val="en-US" w:eastAsia="zh-CN"/>
        </w:rPr>
        <w:t>（三）有关建议</w:t>
      </w:r>
      <w:bookmarkEnd w:id="25"/>
    </w:p>
    <w:p>
      <w:pPr>
        <w:keepNext w:val="0"/>
        <w:keepLines w:val="0"/>
        <w:pageBreakBefore w:val="0"/>
        <w:widowControl w:val="0"/>
        <w:shd w:val="clear"/>
        <w:kinsoku/>
        <w:wordWrap/>
        <w:overflowPunct/>
        <w:topLinePunct w:val="0"/>
        <w:autoSpaceDE/>
        <w:autoSpaceDN/>
        <w:bidi w:val="0"/>
        <w:adjustRightInd/>
        <w:snapToGrid/>
        <w:spacing w:line="360" w:lineRule="auto"/>
        <w:ind w:left="0" w:firstLine="643"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b/>
          <w:bCs/>
          <w:sz w:val="32"/>
          <w:szCs w:val="32"/>
          <w:highlight w:val="none"/>
        </w:rPr>
        <w:t>1</w:t>
      </w:r>
      <w:r>
        <w:rPr>
          <w:rFonts w:hint="eastAsia" w:ascii="仿宋" w:hAnsi="仿宋" w:eastAsia="仿宋" w:cs="仿宋"/>
          <w:b/>
          <w:bCs/>
          <w:sz w:val="32"/>
          <w:szCs w:val="32"/>
          <w:highlight w:val="none"/>
          <w:lang w:val="en-US" w:eastAsia="zh-CN"/>
        </w:rPr>
        <w:t>.</w:t>
      </w:r>
      <w:r>
        <w:rPr>
          <w:rFonts w:hint="eastAsia" w:ascii="仿宋" w:hAnsi="仿宋" w:eastAsia="仿宋" w:cs="仿宋"/>
          <w:b/>
          <w:bCs/>
          <w:sz w:val="32"/>
          <w:szCs w:val="32"/>
          <w:highlight w:val="none"/>
        </w:rPr>
        <w:t>增强绩效管理意识，提升绩效管理水平。</w:t>
      </w:r>
      <w:r>
        <w:rPr>
          <w:rFonts w:hint="eastAsia" w:ascii="仿宋" w:hAnsi="仿宋" w:eastAsia="仿宋" w:cs="仿宋"/>
          <w:sz w:val="32"/>
          <w:szCs w:val="32"/>
          <w:highlight w:val="none"/>
        </w:rPr>
        <w:t>按照《中共中央 国务院关于全面实施预算绩效管理的意见》</w:t>
      </w:r>
      <w:r>
        <w:rPr>
          <w:rFonts w:hint="eastAsia" w:ascii="仿宋" w:hAnsi="仿宋" w:eastAsia="仿宋" w:cs="仿宋"/>
          <w:sz w:val="32"/>
          <w:szCs w:val="32"/>
          <w:highlight w:val="none"/>
          <w:lang w:eastAsia="zh-CN"/>
        </w:rPr>
        <w:t>和</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湖南省政府债务项目绩效管理暂行办法</w:t>
      </w:r>
      <w:r>
        <w:rPr>
          <w:rFonts w:hint="eastAsia" w:ascii="仿宋" w:hAnsi="仿宋" w:eastAsia="仿宋" w:cs="仿宋"/>
          <w:sz w:val="32"/>
          <w:szCs w:val="32"/>
          <w:highlight w:val="none"/>
        </w:rPr>
        <w:t>》（湘</w:t>
      </w:r>
      <w:r>
        <w:rPr>
          <w:rFonts w:hint="eastAsia" w:ascii="仿宋" w:hAnsi="仿宋" w:eastAsia="仿宋" w:cs="仿宋"/>
          <w:sz w:val="32"/>
          <w:szCs w:val="32"/>
          <w:highlight w:val="none"/>
          <w:lang w:eastAsia="zh-CN"/>
        </w:rPr>
        <w:t>财绩</w:t>
      </w:r>
      <w:r>
        <w:rPr>
          <w:rFonts w:hint="eastAsia" w:ascii="仿宋" w:hAnsi="仿宋" w:eastAsia="仿宋" w:cs="仿宋"/>
          <w:sz w:val="32"/>
          <w:szCs w:val="32"/>
          <w:highlight w:val="none"/>
        </w:rPr>
        <w:t>[20</w:t>
      </w:r>
      <w:r>
        <w:rPr>
          <w:rFonts w:hint="eastAsia" w:ascii="仿宋" w:hAnsi="仿宋" w:eastAsia="仿宋" w:cs="仿宋"/>
          <w:sz w:val="32"/>
          <w:szCs w:val="32"/>
          <w:highlight w:val="none"/>
          <w:lang w:val="en-US" w:eastAsia="zh-CN"/>
        </w:rPr>
        <w:t>20</w:t>
      </w:r>
      <w:r>
        <w:rPr>
          <w:rFonts w:hint="eastAsia" w:ascii="仿宋" w:hAnsi="仿宋" w:eastAsia="仿宋" w:cs="仿宋"/>
          <w:sz w:val="32"/>
          <w:szCs w:val="32"/>
          <w:highlight w:val="none"/>
        </w:rPr>
        <w:t>]1</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号）规定，严格按照绩效管理有关要求，落实绩效管理主体责任，做好绩效管理目标申报、自评、公开等各个环节的工作</w:t>
      </w:r>
      <w:r>
        <w:rPr>
          <w:rFonts w:hint="eastAsia" w:ascii="仿宋" w:hAnsi="仿宋" w:eastAsia="仿宋" w:cs="仿宋"/>
          <w:sz w:val="32"/>
          <w:szCs w:val="32"/>
          <w:highlight w:val="none"/>
          <w:lang w:eastAsia="zh-CN"/>
        </w:rPr>
        <w:t>。</w:t>
      </w:r>
    </w:p>
    <w:p>
      <w:pPr>
        <w:pStyle w:val="12"/>
        <w:keepNext w:val="0"/>
        <w:keepLines w:val="0"/>
        <w:pageBreakBefore w:val="0"/>
        <w:widowControl w:val="0"/>
        <w:numPr>
          <w:ilvl w:val="0"/>
          <w:numId w:val="0"/>
        </w:numPr>
        <w:shd w:val="clear"/>
        <w:kinsoku/>
        <w:wordWrap/>
        <w:overflowPunct/>
        <w:topLinePunct w:val="0"/>
        <w:autoSpaceDE/>
        <w:autoSpaceDN/>
        <w:bidi w:val="0"/>
        <w:adjustRightInd/>
        <w:snapToGrid/>
        <w:spacing w:beforeLines="0" w:afterLines="0" w:line="360" w:lineRule="auto"/>
        <w:ind w:leftChars="0" w:firstLine="643"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b/>
          <w:bCs/>
          <w:sz w:val="32"/>
          <w:szCs w:val="32"/>
          <w:highlight w:val="none"/>
          <w:lang w:val="en-US" w:eastAsia="zh-CN"/>
        </w:rPr>
        <w:t>2.制定项目管理制度，加强项目监督检查力度。</w:t>
      </w:r>
      <w:r>
        <w:rPr>
          <w:rFonts w:hint="eastAsia" w:ascii="仿宋" w:hAnsi="仿宋" w:eastAsia="仿宋" w:cs="仿宋"/>
          <w:sz w:val="32"/>
          <w:szCs w:val="32"/>
          <w:highlight w:val="none"/>
          <w:lang w:val="en-US" w:eastAsia="zh-CN"/>
        </w:rPr>
        <w:t>公司应建立项目管理制度与监督机制,由公司法务部门或内审部门对公司制度执行情况进行跟踪监督、定期考核。</w:t>
      </w:r>
    </w:p>
    <w:p>
      <w:pPr>
        <w:pStyle w:val="12"/>
        <w:keepNext w:val="0"/>
        <w:keepLines w:val="0"/>
        <w:pageBreakBefore w:val="0"/>
        <w:widowControl w:val="0"/>
        <w:numPr>
          <w:ilvl w:val="0"/>
          <w:numId w:val="0"/>
        </w:numPr>
        <w:shd w:val="clear"/>
        <w:kinsoku/>
        <w:wordWrap/>
        <w:overflowPunct/>
        <w:topLinePunct w:val="0"/>
        <w:autoSpaceDE/>
        <w:autoSpaceDN/>
        <w:bidi w:val="0"/>
        <w:adjustRightInd/>
        <w:snapToGrid/>
        <w:spacing w:beforeLines="0" w:afterLines="0" w:line="360" w:lineRule="auto"/>
        <w:ind w:leftChars="0" w:firstLine="643" w:firstLineChars="200"/>
        <w:textAlignment w:val="auto"/>
        <w:rPr>
          <w:rFonts w:hint="eastAsia" w:ascii="仿宋" w:hAnsi="仿宋" w:eastAsia="仿宋" w:cs="仿宋"/>
          <w:b w:val="0"/>
          <w:bCs w:val="0"/>
          <w:sz w:val="32"/>
          <w:szCs w:val="32"/>
          <w:highlight w:val="none"/>
          <w:lang w:eastAsia="zh-CN"/>
        </w:rPr>
      </w:pPr>
      <w:r>
        <w:rPr>
          <w:rFonts w:hint="eastAsia" w:ascii="仿宋" w:hAnsi="仿宋" w:eastAsia="仿宋" w:cs="仿宋"/>
          <w:b/>
          <w:bCs/>
          <w:sz w:val="32"/>
          <w:szCs w:val="32"/>
          <w:highlight w:val="none"/>
          <w:lang w:val="en-US" w:eastAsia="zh-CN"/>
        </w:rPr>
        <w:t>3.</w:t>
      </w:r>
      <w:r>
        <w:rPr>
          <w:rFonts w:hint="eastAsia" w:ascii="仿宋" w:hAnsi="仿宋" w:eastAsia="仿宋" w:cs="仿宋"/>
          <w:b/>
          <w:bCs/>
          <w:sz w:val="32"/>
          <w:szCs w:val="32"/>
          <w:highlight w:val="none"/>
          <w:lang w:eastAsia="zh-CN"/>
        </w:rPr>
        <w:t>建立完善专项债务管理制度，加强专项债券全生命周期风险管理。</w:t>
      </w:r>
      <w:r>
        <w:rPr>
          <w:rFonts w:hint="eastAsia" w:ascii="仿宋" w:hAnsi="仿宋" w:eastAsia="仿宋" w:cs="仿宋"/>
          <w:b w:val="0"/>
          <w:bCs w:val="0"/>
          <w:sz w:val="32"/>
          <w:szCs w:val="32"/>
          <w:highlight w:val="none"/>
          <w:lang w:eastAsia="zh-CN"/>
        </w:rPr>
        <w:t>防范风险管控，参照国家、省市有关专项债券管理办法规定，制定单个项目的政府性债务风险应急处置预案。</w:t>
      </w:r>
    </w:p>
    <w:p>
      <w:pPr>
        <w:pStyle w:val="2"/>
        <w:pageBreakBefore w:val="0"/>
        <w:kinsoku/>
        <w:wordWrap/>
        <w:overflowPunct/>
        <w:topLinePunct w:val="0"/>
        <w:autoSpaceDN/>
        <w:bidi w:val="0"/>
        <w:adjustRightInd/>
        <w:snapToGrid/>
        <w:spacing w:line="360" w:lineRule="auto"/>
        <w:ind w:left="0" w:leftChars="0" w:right="0" w:rightChars="0"/>
        <w:textAlignment w:val="auto"/>
        <w:rPr>
          <w:rFonts w:hint="eastAsia" w:ascii="仿宋" w:hAnsi="仿宋" w:eastAsia="仿宋" w:cs="仿宋"/>
          <w:sz w:val="32"/>
          <w:szCs w:val="32"/>
          <w:highlight w:val="none"/>
        </w:rPr>
      </w:pPr>
      <w:r>
        <w:rPr>
          <w:rFonts w:hint="eastAsia" w:ascii="仿宋" w:hAnsi="仿宋" w:eastAsia="仿宋" w:cs="仿宋"/>
          <w:b/>
          <w:bCs/>
          <w:sz w:val="32"/>
          <w:szCs w:val="32"/>
          <w:highlight w:val="none"/>
          <w:lang w:val="en-US" w:eastAsia="zh-CN"/>
        </w:rPr>
        <w:t>4.加强项目事前评估，完善项目管理制度。</w:t>
      </w:r>
      <w:r>
        <w:rPr>
          <w:rFonts w:hint="eastAsia" w:ascii="仿宋" w:hAnsi="仿宋" w:eastAsia="仿宋" w:cs="仿宋"/>
          <w:b w:val="0"/>
          <w:bCs w:val="0"/>
          <w:sz w:val="32"/>
          <w:szCs w:val="32"/>
          <w:highlight w:val="none"/>
          <w:lang w:val="en-US" w:eastAsia="zh-CN"/>
        </w:rPr>
        <w:t>一是</w:t>
      </w:r>
      <w:r>
        <w:rPr>
          <w:rFonts w:hint="eastAsia" w:ascii="仿宋" w:hAnsi="仿宋" w:eastAsia="仿宋" w:cs="仿宋"/>
          <w:sz w:val="32"/>
          <w:szCs w:val="32"/>
          <w:highlight w:val="none"/>
          <w:lang w:val="en-US" w:eastAsia="zh-CN"/>
        </w:rPr>
        <w:t>建议项目单位进一步完善事前绩效评估机制，发挥好事前绩效评估的前端控制作用，优化财政资源配置，提高财政资金使用效率和效益，运用科学合理的方法，重点论证立项必要性、投入经济性、绩效目标合理性、实施方案可行性、筹资合规性等，确保专项资金使用的效益性。二是</w:t>
      </w:r>
      <w:r>
        <w:rPr>
          <w:rFonts w:hint="eastAsia" w:ascii="仿宋" w:hAnsi="仿宋" w:eastAsia="仿宋" w:cs="仿宋"/>
          <w:b w:val="0"/>
          <w:bCs w:val="0"/>
          <w:sz w:val="32"/>
          <w:szCs w:val="32"/>
          <w:highlight w:val="none"/>
          <w:lang w:val="en-US" w:eastAsia="zh-CN"/>
        </w:rPr>
        <w:t>公司应严格按照《邵阳市市级重点建设项目管理办法》相关规定执行，对工程单项变更增加造价10万元以上的，应在接到建设业主申请3日内由项目建设主管部门牵头组织行业监管部门、审计部门（技术复杂的同时邀请第三方）、工程技术人员及财政、纪检监察、发改等部门及建设、施工、监理单位现场联合勘察会审并拿出会审意见按程序审定，单项变更100万元以上且超出总造价5%以上，必须报市重点建设领导小组或市政府常务会议集体研究同意。三是公司应建立工程变更责任追究制度，对因勘察、设计、预算、监理等工作失误引起工程量变更增加工程造价的，扣减或不予支付服务费用，情节严重的，由相关主管部门记入不良行为记录，通过建立变更责任追究制度，可将工程变更最终责任落实到责任人，有效地控制工程变更。</w:t>
      </w:r>
      <w:bookmarkStart w:id="26" w:name="_GoBack"/>
      <w:bookmarkEnd w:id="26"/>
    </w:p>
    <w:sectPr>
      <w:headerReference r:id="rId5" w:type="default"/>
      <w:footerReference r:id="rId6" w:type="default"/>
      <w:pgSz w:w="11906" w:h="16838"/>
      <w:pgMar w:top="2098" w:right="1474" w:bottom="1984" w:left="1587" w:header="851" w:footer="992" w:gutter="0"/>
      <w:pgNumType w:fmt="decimal"/>
      <w:cols w:space="425"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Wingdings 2">
    <w:altName w:val="Wingdings"/>
    <w:panose1 w:val="050201020105070707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right" w:pos="8306"/>
      </w:tabs>
      <w:snapToGrid w:val="0"/>
      <w:spacing w:beforeLines="0" w:afterLines="0"/>
      <w:jc w:val="center"/>
      <w:rPr>
        <w:rFonts w:hint="default" w:ascii="Calibri" w:hAnsi="Calibri"/>
        <w:sz w:val="18"/>
        <w:lang w:val="en-US"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spacing w:beforeLines="0" w:afterLines="0"/>
      <w:rPr>
        <w:rFonts w:hint="default"/>
        <w:sz w:val="18"/>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9C18D4"/>
    <w:multiLevelType w:val="multilevel"/>
    <w:tmpl w:val="429C18D4"/>
    <w:lvl w:ilvl="0" w:tentative="0">
      <w:start w:val="2"/>
      <w:numFmt w:val="chineseCounting"/>
      <w:suff w:val="nothing"/>
      <w:lvlText w:val="（%1）"/>
      <w:lvlJc w:val="left"/>
      <w:rPr>
        <w:rFonts w:hint="default"/>
        <w:u w:val="none" w:color="auto"/>
      </w:rPr>
    </w:lvl>
    <w:lvl w:ilvl="1" w:tentative="0">
      <w:start w:val="1"/>
      <w:numFmt w:val="decimal"/>
      <w:lvlText w:val=""/>
      <w:lvlJc w:val="left"/>
      <w:rPr>
        <w:rFonts w:hint="default"/>
        <w:u w:val="none" w:color="auto"/>
      </w:rPr>
    </w:lvl>
    <w:lvl w:ilvl="2" w:tentative="0">
      <w:start w:val="1"/>
      <w:numFmt w:val="decimal"/>
      <w:lvlText w:val=""/>
      <w:lvlJc w:val="left"/>
      <w:rPr>
        <w:rFonts w:hint="default"/>
        <w:u w:val="none" w:color="auto"/>
      </w:rPr>
    </w:lvl>
    <w:lvl w:ilvl="3" w:tentative="0">
      <w:start w:val="1"/>
      <w:numFmt w:val="decimal"/>
      <w:lvlText w:val=""/>
      <w:lvlJc w:val="left"/>
      <w:rPr>
        <w:rFonts w:hint="default"/>
        <w:u w:val="none" w:color="auto"/>
      </w:rPr>
    </w:lvl>
    <w:lvl w:ilvl="4" w:tentative="0">
      <w:start w:val="1"/>
      <w:numFmt w:val="decimal"/>
      <w:lvlText w:val=""/>
      <w:lvlJc w:val="left"/>
      <w:rPr>
        <w:rFonts w:hint="default"/>
        <w:u w:val="none" w:color="auto"/>
      </w:rPr>
    </w:lvl>
    <w:lvl w:ilvl="5" w:tentative="0">
      <w:start w:val="1"/>
      <w:numFmt w:val="decimal"/>
      <w:lvlText w:val=""/>
      <w:lvlJc w:val="left"/>
      <w:rPr>
        <w:rFonts w:hint="default"/>
        <w:u w:val="none" w:color="auto"/>
      </w:rPr>
    </w:lvl>
    <w:lvl w:ilvl="6" w:tentative="0">
      <w:start w:val="1"/>
      <w:numFmt w:val="decimal"/>
      <w:lvlText w:val=""/>
      <w:lvlJc w:val="left"/>
      <w:rPr>
        <w:rFonts w:hint="default"/>
        <w:u w:val="none" w:color="auto"/>
      </w:rPr>
    </w:lvl>
    <w:lvl w:ilvl="7" w:tentative="0">
      <w:start w:val="1"/>
      <w:numFmt w:val="decimal"/>
      <w:lvlText w:val=""/>
      <w:lvlJc w:val="left"/>
      <w:rPr>
        <w:rFonts w:hint="default"/>
        <w:u w:val="none" w:color="auto"/>
      </w:rPr>
    </w:lvl>
    <w:lvl w:ilvl="8" w:tentative="0">
      <w:start w:val="1"/>
      <w:numFmt w:val="decimal"/>
      <w:lvlText w:val=""/>
      <w:lvlJc w:val="left"/>
      <w:rPr>
        <w:rFonts w:hint="default"/>
        <w:u w:val="none" w:color="auto"/>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双双">
    <w15:presenceInfo w15:providerId="WPS Office" w15:userId="54160565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revisionView w:markup="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lNTM2OTM0NmYwMDMwOWM3NjBlYWQ3NzM1NTdjZjYifQ=="/>
  </w:docVars>
  <w:rsids>
    <w:rsidRoot w:val="179A7DFE"/>
    <w:rsid w:val="00002BF9"/>
    <w:rsid w:val="00006239"/>
    <w:rsid w:val="0001078D"/>
    <w:rsid w:val="000179A6"/>
    <w:rsid w:val="00017CFF"/>
    <w:rsid w:val="00021171"/>
    <w:rsid w:val="00021BBF"/>
    <w:rsid w:val="00030F51"/>
    <w:rsid w:val="00031DB1"/>
    <w:rsid w:val="000337F9"/>
    <w:rsid w:val="00042BE4"/>
    <w:rsid w:val="00043824"/>
    <w:rsid w:val="00045438"/>
    <w:rsid w:val="00045890"/>
    <w:rsid w:val="0005067B"/>
    <w:rsid w:val="00052741"/>
    <w:rsid w:val="00060B7A"/>
    <w:rsid w:val="0007169F"/>
    <w:rsid w:val="00075EEC"/>
    <w:rsid w:val="00085D4A"/>
    <w:rsid w:val="0008732D"/>
    <w:rsid w:val="00091E5A"/>
    <w:rsid w:val="00095CD8"/>
    <w:rsid w:val="00096B2B"/>
    <w:rsid w:val="000A31BF"/>
    <w:rsid w:val="000A5D8B"/>
    <w:rsid w:val="000A7767"/>
    <w:rsid w:val="000A7A60"/>
    <w:rsid w:val="000B1712"/>
    <w:rsid w:val="000B2C90"/>
    <w:rsid w:val="000C1C11"/>
    <w:rsid w:val="000C1CB5"/>
    <w:rsid w:val="000C1FF9"/>
    <w:rsid w:val="000C3668"/>
    <w:rsid w:val="000C5E54"/>
    <w:rsid w:val="000D27BF"/>
    <w:rsid w:val="000D48A0"/>
    <w:rsid w:val="000D52A9"/>
    <w:rsid w:val="000D615E"/>
    <w:rsid w:val="000E1672"/>
    <w:rsid w:val="000E4CDE"/>
    <w:rsid w:val="000F1F2D"/>
    <w:rsid w:val="00112AB2"/>
    <w:rsid w:val="00112B17"/>
    <w:rsid w:val="00117D1D"/>
    <w:rsid w:val="00122220"/>
    <w:rsid w:val="00125F7F"/>
    <w:rsid w:val="00126CD7"/>
    <w:rsid w:val="00132055"/>
    <w:rsid w:val="00141520"/>
    <w:rsid w:val="00144FBD"/>
    <w:rsid w:val="00154948"/>
    <w:rsid w:val="00156C2F"/>
    <w:rsid w:val="00160F00"/>
    <w:rsid w:val="0016275D"/>
    <w:rsid w:val="00163D22"/>
    <w:rsid w:val="00170723"/>
    <w:rsid w:val="00174217"/>
    <w:rsid w:val="00182AB1"/>
    <w:rsid w:val="00191035"/>
    <w:rsid w:val="00192862"/>
    <w:rsid w:val="001943B3"/>
    <w:rsid w:val="001A087A"/>
    <w:rsid w:val="001A423F"/>
    <w:rsid w:val="001A4F6C"/>
    <w:rsid w:val="001A55B1"/>
    <w:rsid w:val="001B4087"/>
    <w:rsid w:val="001C2D2C"/>
    <w:rsid w:val="001C6CC2"/>
    <w:rsid w:val="001C7AB4"/>
    <w:rsid w:val="001D1BF8"/>
    <w:rsid w:val="001D6B40"/>
    <w:rsid w:val="001E1094"/>
    <w:rsid w:val="00212C37"/>
    <w:rsid w:val="00216A80"/>
    <w:rsid w:val="0021707E"/>
    <w:rsid w:val="00220DF7"/>
    <w:rsid w:val="00232E99"/>
    <w:rsid w:val="0024093D"/>
    <w:rsid w:val="002474A0"/>
    <w:rsid w:val="002630BB"/>
    <w:rsid w:val="00264BE1"/>
    <w:rsid w:val="002663B8"/>
    <w:rsid w:val="00274FC0"/>
    <w:rsid w:val="002764E9"/>
    <w:rsid w:val="002772CE"/>
    <w:rsid w:val="002776E9"/>
    <w:rsid w:val="00280A10"/>
    <w:rsid w:val="00296820"/>
    <w:rsid w:val="002A1673"/>
    <w:rsid w:val="002A65EC"/>
    <w:rsid w:val="002C1A5E"/>
    <w:rsid w:val="002D1A15"/>
    <w:rsid w:val="002D2E77"/>
    <w:rsid w:val="002E45B7"/>
    <w:rsid w:val="002E4F01"/>
    <w:rsid w:val="002E715E"/>
    <w:rsid w:val="002F0C1A"/>
    <w:rsid w:val="002F5C4D"/>
    <w:rsid w:val="002F60C6"/>
    <w:rsid w:val="00302D78"/>
    <w:rsid w:val="00315BE8"/>
    <w:rsid w:val="00320613"/>
    <w:rsid w:val="003221C6"/>
    <w:rsid w:val="00322A08"/>
    <w:rsid w:val="00323FF9"/>
    <w:rsid w:val="00332FB2"/>
    <w:rsid w:val="003405B9"/>
    <w:rsid w:val="003455C7"/>
    <w:rsid w:val="00347520"/>
    <w:rsid w:val="00353122"/>
    <w:rsid w:val="00371A35"/>
    <w:rsid w:val="00380B73"/>
    <w:rsid w:val="0038444D"/>
    <w:rsid w:val="00386DD7"/>
    <w:rsid w:val="003930CA"/>
    <w:rsid w:val="003A0D21"/>
    <w:rsid w:val="003B3191"/>
    <w:rsid w:val="003B56CA"/>
    <w:rsid w:val="003C28DE"/>
    <w:rsid w:val="003D5109"/>
    <w:rsid w:val="003D57A4"/>
    <w:rsid w:val="003D5EBF"/>
    <w:rsid w:val="003E0944"/>
    <w:rsid w:val="003E31EF"/>
    <w:rsid w:val="003E322C"/>
    <w:rsid w:val="003E38ED"/>
    <w:rsid w:val="003E641C"/>
    <w:rsid w:val="003F480F"/>
    <w:rsid w:val="00401D82"/>
    <w:rsid w:val="00402B90"/>
    <w:rsid w:val="004038F0"/>
    <w:rsid w:val="00407341"/>
    <w:rsid w:val="004079D4"/>
    <w:rsid w:val="00411052"/>
    <w:rsid w:val="00413FA8"/>
    <w:rsid w:val="0042038B"/>
    <w:rsid w:val="00433100"/>
    <w:rsid w:val="004362DE"/>
    <w:rsid w:val="0044492E"/>
    <w:rsid w:val="0045112E"/>
    <w:rsid w:val="00457949"/>
    <w:rsid w:val="00461149"/>
    <w:rsid w:val="004615C1"/>
    <w:rsid w:val="004619FC"/>
    <w:rsid w:val="0046521B"/>
    <w:rsid w:val="004771C3"/>
    <w:rsid w:val="00480BDC"/>
    <w:rsid w:val="00481D80"/>
    <w:rsid w:val="0048354D"/>
    <w:rsid w:val="0048402C"/>
    <w:rsid w:val="00490B57"/>
    <w:rsid w:val="00495479"/>
    <w:rsid w:val="004954C8"/>
    <w:rsid w:val="004A4876"/>
    <w:rsid w:val="004B03DA"/>
    <w:rsid w:val="004B5178"/>
    <w:rsid w:val="004B5BB7"/>
    <w:rsid w:val="004B6D51"/>
    <w:rsid w:val="004B7199"/>
    <w:rsid w:val="004C006C"/>
    <w:rsid w:val="004C1D26"/>
    <w:rsid w:val="004C3013"/>
    <w:rsid w:val="004C38B5"/>
    <w:rsid w:val="004C3EF3"/>
    <w:rsid w:val="004D2810"/>
    <w:rsid w:val="004E7695"/>
    <w:rsid w:val="004E7E13"/>
    <w:rsid w:val="004F0FFF"/>
    <w:rsid w:val="004F27DA"/>
    <w:rsid w:val="004F2ED7"/>
    <w:rsid w:val="004F630E"/>
    <w:rsid w:val="004F67BA"/>
    <w:rsid w:val="0050290C"/>
    <w:rsid w:val="00511523"/>
    <w:rsid w:val="005117D0"/>
    <w:rsid w:val="005142A8"/>
    <w:rsid w:val="00515BFE"/>
    <w:rsid w:val="00522FE0"/>
    <w:rsid w:val="00526229"/>
    <w:rsid w:val="00527646"/>
    <w:rsid w:val="0053250E"/>
    <w:rsid w:val="0053658F"/>
    <w:rsid w:val="0054210E"/>
    <w:rsid w:val="005468BD"/>
    <w:rsid w:val="00547DD1"/>
    <w:rsid w:val="00552C8F"/>
    <w:rsid w:val="00554AA0"/>
    <w:rsid w:val="005612A6"/>
    <w:rsid w:val="0056156F"/>
    <w:rsid w:val="00562A6A"/>
    <w:rsid w:val="00565120"/>
    <w:rsid w:val="00565E63"/>
    <w:rsid w:val="00575F8C"/>
    <w:rsid w:val="00582A95"/>
    <w:rsid w:val="00582EDC"/>
    <w:rsid w:val="005859BC"/>
    <w:rsid w:val="00585B45"/>
    <w:rsid w:val="00590E91"/>
    <w:rsid w:val="0059111B"/>
    <w:rsid w:val="005952C7"/>
    <w:rsid w:val="00595E2A"/>
    <w:rsid w:val="005A19DA"/>
    <w:rsid w:val="005B1B65"/>
    <w:rsid w:val="005C1F3C"/>
    <w:rsid w:val="005C412D"/>
    <w:rsid w:val="005D4BCE"/>
    <w:rsid w:val="005E1A7D"/>
    <w:rsid w:val="005E1D2E"/>
    <w:rsid w:val="005E4FB3"/>
    <w:rsid w:val="0060610B"/>
    <w:rsid w:val="0060761D"/>
    <w:rsid w:val="00616CFB"/>
    <w:rsid w:val="0062057C"/>
    <w:rsid w:val="0062083A"/>
    <w:rsid w:val="00621E0F"/>
    <w:rsid w:val="00624170"/>
    <w:rsid w:val="0063351C"/>
    <w:rsid w:val="0063375F"/>
    <w:rsid w:val="00636426"/>
    <w:rsid w:val="0064020A"/>
    <w:rsid w:val="00643241"/>
    <w:rsid w:val="00644CC5"/>
    <w:rsid w:val="00652FDC"/>
    <w:rsid w:val="00653FB6"/>
    <w:rsid w:val="00665656"/>
    <w:rsid w:val="00666B80"/>
    <w:rsid w:val="00677156"/>
    <w:rsid w:val="00686CD4"/>
    <w:rsid w:val="00687AB5"/>
    <w:rsid w:val="00696F6C"/>
    <w:rsid w:val="006B18B5"/>
    <w:rsid w:val="006B7176"/>
    <w:rsid w:val="006C0665"/>
    <w:rsid w:val="006C4618"/>
    <w:rsid w:val="006D20DB"/>
    <w:rsid w:val="006E2C16"/>
    <w:rsid w:val="006E37B4"/>
    <w:rsid w:val="006E6DCA"/>
    <w:rsid w:val="006F0EB5"/>
    <w:rsid w:val="006F4F60"/>
    <w:rsid w:val="007115D8"/>
    <w:rsid w:val="00717778"/>
    <w:rsid w:val="0071778E"/>
    <w:rsid w:val="00724CEE"/>
    <w:rsid w:val="00725D4B"/>
    <w:rsid w:val="00726300"/>
    <w:rsid w:val="00732078"/>
    <w:rsid w:val="007375F1"/>
    <w:rsid w:val="00737A92"/>
    <w:rsid w:val="00741B00"/>
    <w:rsid w:val="0076267B"/>
    <w:rsid w:val="00770B80"/>
    <w:rsid w:val="007755F6"/>
    <w:rsid w:val="00782159"/>
    <w:rsid w:val="007855D9"/>
    <w:rsid w:val="00786FA9"/>
    <w:rsid w:val="007921D4"/>
    <w:rsid w:val="0079239C"/>
    <w:rsid w:val="007928AC"/>
    <w:rsid w:val="007A199A"/>
    <w:rsid w:val="007A24B2"/>
    <w:rsid w:val="007A5130"/>
    <w:rsid w:val="007B0AF1"/>
    <w:rsid w:val="007E62CA"/>
    <w:rsid w:val="007F03E2"/>
    <w:rsid w:val="007F4D73"/>
    <w:rsid w:val="007F7554"/>
    <w:rsid w:val="0080443E"/>
    <w:rsid w:val="00810C13"/>
    <w:rsid w:val="00813C64"/>
    <w:rsid w:val="00814B59"/>
    <w:rsid w:val="00816A0B"/>
    <w:rsid w:val="008214B4"/>
    <w:rsid w:val="00823337"/>
    <w:rsid w:val="00830B32"/>
    <w:rsid w:val="008319AE"/>
    <w:rsid w:val="008319FC"/>
    <w:rsid w:val="00832557"/>
    <w:rsid w:val="00845D0D"/>
    <w:rsid w:val="00846563"/>
    <w:rsid w:val="00865AF2"/>
    <w:rsid w:val="008703A6"/>
    <w:rsid w:val="008724B6"/>
    <w:rsid w:val="00873266"/>
    <w:rsid w:val="0087378D"/>
    <w:rsid w:val="00882D94"/>
    <w:rsid w:val="00887E84"/>
    <w:rsid w:val="0089540A"/>
    <w:rsid w:val="00896DBC"/>
    <w:rsid w:val="008A5A90"/>
    <w:rsid w:val="008A7567"/>
    <w:rsid w:val="008B03B9"/>
    <w:rsid w:val="008B1C13"/>
    <w:rsid w:val="008B5AC7"/>
    <w:rsid w:val="008B6378"/>
    <w:rsid w:val="008B7355"/>
    <w:rsid w:val="008D1117"/>
    <w:rsid w:val="008D4268"/>
    <w:rsid w:val="008E3B2B"/>
    <w:rsid w:val="008E6A3C"/>
    <w:rsid w:val="008E72D6"/>
    <w:rsid w:val="008E7A6F"/>
    <w:rsid w:val="008F2254"/>
    <w:rsid w:val="00900F86"/>
    <w:rsid w:val="009036AB"/>
    <w:rsid w:val="00903EDF"/>
    <w:rsid w:val="0090703F"/>
    <w:rsid w:val="009171DD"/>
    <w:rsid w:val="009223B7"/>
    <w:rsid w:val="00932076"/>
    <w:rsid w:val="00946B3E"/>
    <w:rsid w:val="00952AF4"/>
    <w:rsid w:val="00955671"/>
    <w:rsid w:val="00960299"/>
    <w:rsid w:val="009637C1"/>
    <w:rsid w:val="00967282"/>
    <w:rsid w:val="00972E70"/>
    <w:rsid w:val="00987835"/>
    <w:rsid w:val="00990352"/>
    <w:rsid w:val="0099380F"/>
    <w:rsid w:val="009942E5"/>
    <w:rsid w:val="00997E8A"/>
    <w:rsid w:val="009A05DE"/>
    <w:rsid w:val="009A1037"/>
    <w:rsid w:val="009B0AD7"/>
    <w:rsid w:val="009B52CB"/>
    <w:rsid w:val="009B633A"/>
    <w:rsid w:val="009C39CF"/>
    <w:rsid w:val="009C4FA7"/>
    <w:rsid w:val="009D6E5A"/>
    <w:rsid w:val="009E5393"/>
    <w:rsid w:val="009F2436"/>
    <w:rsid w:val="009F6839"/>
    <w:rsid w:val="00A12BA9"/>
    <w:rsid w:val="00A132E5"/>
    <w:rsid w:val="00A2798E"/>
    <w:rsid w:val="00A3177C"/>
    <w:rsid w:val="00A36133"/>
    <w:rsid w:val="00A40483"/>
    <w:rsid w:val="00A41BAD"/>
    <w:rsid w:val="00A56660"/>
    <w:rsid w:val="00A6079C"/>
    <w:rsid w:val="00A62B6C"/>
    <w:rsid w:val="00A655A9"/>
    <w:rsid w:val="00A65876"/>
    <w:rsid w:val="00A66D70"/>
    <w:rsid w:val="00A81BF7"/>
    <w:rsid w:val="00A81C0B"/>
    <w:rsid w:val="00A82827"/>
    <w:rsid w:val="00A83BF1"/>
    <w:rsid w:val="00A858BA"/>
    <w:rsid w:val="00AA3E0D"/>
    <w:rsid w:val="00AA7ACD"/>
    <w:rsid w:val="00AA7BA6"/>
    <w:rsid w:val="00AC372F"/>
    <w:rsid w:val="00AD3987"/>
    <w:rsid w:val="00AE070F"/>
    <w:rsid w:val="00AF42CE"/>
    <w:rsid w:val="00AF4EEC"/>
    <w:rsid w:val="00AF6C37"/>
    <w:rsid w:val="00AF7F72"/>
    <w:rsid w:val="00B07448"/>
    <w:rsid w:val="00B079EB"/>
    <w:rsid w:val="00B12F3A"/>
    <w:rsid w:val="00B22FD7"/>
    <w:rsid w:val="00B3090C"/>
    <w:rsid w:val="00B336AB"/>
    <w:rsid w:val="00B441CF"/>
    <w:rsid w:val="00B46A30"/>
    <w:rsid w:val="00B50218"/>
    <w:rsid w:val="00B51A72"/>
    <w:rsid w:val="00B561ED"/>
    <w:rsid w:val="00B71F65"/>
    <w:rsid w:val="00B74AE9"/>
    <w:rsid w:val="00B81354"/>
    <w:rsid w:val="00B845C8"/>
    <w:rsid w:val="00B87615"/>
    <w:rsid w:val="00B909EB"/>
    <w:rsid w:val="00B93081"/>
    <w:rsid w:val="00B9695B"/>
    <w:rsid w:val="00BA10BF"/>
    <w:rsid w:val="00BA35C1"/>
    <w:rsid w:val="00BB40D7"/>
    <w:rsid w:val="00BC6B1A"/>
    <w:rsid w:val="00BD0311"/>
    <w:rsid w:val="00BD260D"/>
    <w:rsid w:val="00BD3556"/>
    <w:rsid w:val="00BD655D"/>
    <w:rsid w:val="00BF009F"/>
    <w:rsid w:val="00BF244B"/>
    <w:rsid w:val="00BF60FA"/>
    <w:rsid w:val="00C008B4"/>
    <w:rsid w:val="00C2275C"/>
    <w:rsid w:val="00C275EF"/>
    <w:rsid w:val="00C30081"/>
    <w:rsid w:val="00C31CE3"/>
    <w:rsid w:val="00C3219A"/>
    <w:rsid w:val="00C33F20"/>
    <w:rsid w:val="00C47D51"/>
    <w:rsid w:val="00C53234"/>
    <w:rsid w:val="00C55693"/>
    <w:rsid w:val="00C72F21"/>
    <w:rsid w:val="00C761EF"/>
    <w:rsid w:val="00C76DD7"/>
    <w:rsid w:val="00CA2EB8"/>
    <w:rsid w:val="00CA4F86"/>
    <w:rsid w:val="00CA5552"/>
    <w:rsid w:val="00CB40F1"/>
    <w:rsid w:val="00CB6BE5"/>
    <w:rsid w:val="00CC1355"/>
    <w:rsid w:val="00CC7EB1"/>
    <w:rsid w:val="00CD5879"/>
    <w:rsid w:val="00CE2892"/>
    <w:rsid w:val="00CE71A3"/>
    <w:rsid w:val="00CF2CC2"/>
    <w:rsid w:val="00CF50F2"/>
    <w:rsid w:val="00CF7F00"/>
    <w:rsid w:val="00CF7F8B"/>
    <w:rsid w:val="00D05659"/>
    <w:rsid w:val="00D057BD"/>
    <w:rsid w:val="00D05C9D"/>
    <w:rsid w:val="00D07B0E"/>
    <w:rsid w:val="00D235AB"/>
    <w:rsid w:val="00D268FC"/>
    <w:rsid w:val="00D323C8"/>
    <w:rsid w:val="00D32606"/>
    <w:rsid w:val="00D41279"/>
    <w:rsid w:val="00D4293C"/>
    <w:rsid w:val="00D441EE"/>
    <w:rsid w:val="00D44586"/>
    <w:rsid w:val="00D44982"/>
    <w:rsid w:val="00D45302"/>
    <w:rsid w:val="00D471F6"/>
    <w:rsid w:val="00D50B8D"/>
    <w:rsid w:val="00D55AA1"/>
    <w:rsid w:val="00D5625E"/>
    <w:rsid w:val="00D630E3"/>
    <w:rsid w:val="00D720FC"/>
    <w:rsid w:val="00D740AC"/>
    <w:rsid w:val="00D751C4"/>
    <w:rsid w:val="00D76D35"/>
    <w:rsid w:val="00D81AEA"/>
    <w:rsid w:val="00D823A7"/>
    <w:rsid w:val="00D930D4"/>
    <w:rsid w:val="00D933D1"/>
    <w:rsid w:val="00DA105F"/>
    <w:rsid w:val="00DB13C4"/>
    <w:rsid w:val="00DB6C30"/>
    <w:rsid w:val="00DC1AE6"/>
    <w:rsid w:val="00DC362D"/>
    <w:rsid w:val="00DC40AD"/>
    <w:rsid w:val="00DD1070"/>
    <w:rsid w:val="00DD334E"/>
    <w:rsid w:val="00DE02A7"/>
    <w:rsid w:val="00DE67F1"/>
    <w:rsid w:val="00DE6DA2"/>
    <w:rsid w:val="00DF1D68"/>
    <w:rsid w:val="00E025ED"/>
    <w:rsid w:val="00E10EE3"/>
    <w:rsid w:val="00E145F3"/>
    <w:rsid w:val="00E17449"/>
    <w:rsid w:val="00E20EA3"/>
    <w:rsid w:val="00E21597"/>
    <w:rsid w:val="00E224B6"/>
    <w:rsid w:val="00E23067"/>
    <w:rsid w:val="00E26124"/>
    <w:rsid w:val="00E26705"/>
    <w:rsid w:val="00E308EC"/>
    <w:rsid w:val="00E325D6"/>
    <w:rsid w:val="00E32C9E"/>
    <w:rsid w:val="00E36FE0"/>
    <w:rsid w:val="00E5050D"/>
    <w:rsid w:val="00E52674"/>
    <w:rsid w:val="00E53F5F"/>
    <w:rsid w:val="00E57149"/>
    <w:rsid w:val="00E57C54"/>
    <w:rsid w:val="00E60341"/>
    <w:rsid w:val="00E60591"/>
    <w:rsid w:val="00E627B4"/>
    <w:rsid w:val="00E6724E"/>
    <w:rsid w:val="00E80F23"/>
    <w:rsid w:val="00E81288"/>
    <w:rsid w:val="00E876C6"/>
    <w:rsid w:val="00E94E92"/>
    <w:rsid w:val="00E96429"/>
    <w:rsid w:val="00EA2444"/>
    <w:rsid w:val="00EA5C37"/>
    <w:rsid w:val="00EC7A75"/>
    <w:rsid w:val="00ED54DA"/>
    <w:rsid w:val="00EE0E0C"/>
    <w:rsid w:val="00EE404A"/>
    <w:rsid w:val="00EE46B8"/>
    <w:rsid w:val="00EF0E40"/>
    <w:rsid w:val="00EF1962"/>
    <w:rsid w:val="00EF1A86"/>
    <w:rsid w:val="00EF5D9C"/>
    <w:rsid w:val="00EF70B5"/>
    <w:rsid w:val="00F01ACB"/>
    <w:rsid w:val="00F036C9"/>
    <w:rsid w:val="00F147B0"/>
    <w:rsid w:val="00F16D51"/>
    <w:rsid w:val="00F20D3F"/>
    <w:rsid w:val="00F22F9D"/>
    <w:rsid w:val="00F23DF9"/>
    <w:rsid w:val="00F25A4F"/>
    <w:rsid w:val="00F25A76"/>
    <w:rsid w:val="00F336BA"/>
    <w:rsid w:val="00F4414D"/>
    <w:rsid w:val="00F44F5F"/>
    <w:rsid w:val="00F46062"/>
    <w:rsid w:val="00F519E7"/>
    <w:rsid w:val="00F535C8"/>
    <w:rsid w:val="00F559C1"/>
    <w:rsid w:val="00F574D2"/>
    <w:rsid w:val="00F623F3"/>
    <w:rsid w:val="00F6459B"/>
    <w:rsid w:val="00F675F5"/>
    <w:rsid w:val="00F71CF8"/>
    <w:rsid w:val="00F75D6F"/>
    <w:rsid w:val="00F76CB8"/>
    <w:rsid w:val="00F80714"/>
    <w:rsid w:val="00F84AC0"/>
    <w:rsid w:val="00F95D11"/>
    <w:rsid w:val="00FB14C1"/>
    <w:rsid w:val="00FC6D82"/>
    <w:rsid w:val="00FD11F4"/>
    <w:rsid w:val="00FD16B5"/>
    <w:rsid w:val="00FD28BB"/>
    <w:rsid w:val="00FD5242"/>
    <w:rsid w:val="00FE72ED"/>
    <w:rsid w:val="00FF2D9A"/>
    <w:rsid w:val="01033DA6"/>
    <w:rsid w:val="01253372"/>
    <w:rsid w:val="01390BCC"/>
    <w:rsid w:val="01583748"/>
    <w:rsid w:val="01695955"/>
    <w:rsid w:val="01853E11"/>
    <w:rsid w:val="019E3125"/>
    <w:rsid w:val="01A26771"/>
    <w:rsid w:val="01A4698D"/>
    <w:rsid w:val="01DA23AF"/>
    <w:rsid w:val="01DF5589"/>
    <w:rsid w:val="01E90844"/>
    <w:rsid w:val="01FB0577"/>
    <w:rsid w:val="022D2114"/>
    <w:rsid w:val="02420E41"/>
    <w:rsid w:val="026E0D49"/>
    <w:rsid w:val="029D33DC"/>
    <w:rsid w:val="02B00EB8"/>
    <w:rsid w:val="02BC1AB4"/>
    <w:rsid w:val="02BC3862"/>
    <w:rsid w:val="02BD75DA"/>
    <w:rsid w:val="02C44E0D"/>
    <w:rsid w:val="02C866AB"/>
    <w:rsid w:val="02EE59E6"/>
    <w:rsid w:val="02F25FCD"/>
    <w:rsid w:val="02F61090"/>
    <w:rsid w:val="03004097"/>
    <w:rsid w:val="03044C13"/>
    <w:rsid w:val="030F6088"/>
    <w:rsid w:val="03123DCA"/>
    <w:rsid w:val="0331105F"/>
    <w:rsid w:val="03773C2D"/>
    <w:rsid w:val="037C7496"/>
    <w:rsid w:val="0397607D"/>
    <w:rsid w:val="03C05177"/>
    <w:rsid w:val="03C07382"/>
    <w:rsid w:val="03C2759E"/>
    <w:rsid w:val="03CE5F43"/>
    <w:rsid w:val="03DA48E8"/>
    <w:rsid w:val="03F31506"/>
    <w:rsid w:val="03FD2384"/>
    <w:rsid w:val="04104B5B"/>
    <w:rsid w:val="041D2A27"/>
    <w:rsid w:val="04206073"/>
    <w:rsid w:val="04243DB5"/>
    <w:rsid w:val="04310280"/>
    <w:rsid w:val="044E498E"/>
    <w:rsid w:val="04510922"/>
    <w:rsid w:val="045521C0"/>
    <w:rsid w:val="04620439"/>
    <w:rsid w:val="04732647"/>
    <w:rsid w:val="04770389"/>
    <w:rsid w:val="048B5BE2"/>
    <w:rsid w:val="04983177"/>
    <w:rsid w:val="04B52C5F"/>
    <w:rsid w:val="04B70785"/>
    <w:rsid w:val="04D23811"/>
    <w:rsid w:val="04E90B5B"/>
    <w:rsid w:val="050414F1"/>
    <w:rsid w:val="05235E1B"/>
    <w:rsid w:val="0526590B"/>
    <w:rsid w:val="052851DF"/>
    <w:rsid w:val="056D353A"/>
    <w:rsid w:val="059705B7"/>
    <w:rsid w:val="05A10AEC"/>
    <w:rsid w:val="05D05DE6"/>
    <w:rsid w:val="05D11D1B"/>
    <w:rsid w:val="05DE4E38"/>
    <w:rsid w:val="061B4D44"/>
    <w:rsid w:val="06224324"/>
    <w:rsid w:val="06451DC1"/>
    <w:rsid w:val="06635490"/>
    <w:rsid w:val="068723D9"/>
    <w:rsid w:val="06930D7E"/>
    <w:rsid w:val="06A27213"/>
    <w:rsid w:val="06B4658F"/>
    <w:rsid w:val="06E93094"/>
    <w:rsid w:val="06F832D7"/>
    <w:rsid w:val="06F85085"/>
    <w:rsid w:val="06F86E33"/>
    <w:rsid w:val="06FA0DFD"/>
    <w:rsid w:val="070D0B30"/>
    <w:rsid w:val="07126147"/>
    <w:rsid w:val="07506C6F"/>
    <w:rsid w:val="075C1AB8"/>
    <w:rsid w:val="07632E46"/>
    <w:rsid w:val="077C1812"/>
    <w:rsid w:val="077C7A64"/>
    <w:rsid w:val="0790350F"/>
    <w:rsid w:val="07AC659B"/>
    <w:rsid w:val="07CE6EBF"/>
    <w:rsid w:val="07DC0503"/>
    <w:rsid w:val="07E166E7"/>
    <w:rsid w:val="080041F1"/>
    <w:rsid w:val="08030185"/>
    <w:rsid w:val="080C703A"/>
    <w:rsid w:val="080F6B2A"/>
    <w:rsid w:val="082E5202"/>
    <w:rsid w:val="087D6CD7"/>
    <w:rsid w:val="089B216C"/>
    <w:rsid w:val="08C16076"/>
    <w:rsid w:val="08DA7138"/>
    <w:rsid w:val="08E21B49"/>
    <w:rsid w:val="08F17FDE"/>
    <w:rsid w:val="090715AF"/>
    <w:rsid w:val="090B72F2"/>
    <w:rsid w:val="090E0B90"/>
    <w:rsid w:val="0926412B"/>
    <w:rsid w:val="092E4D8E"/>
    <w:rsid w:val="094C3466"/>
    <w:rsid w:val="095742E5"/>
    <w:rsid w:val="09646A02"/>
    <w:rsid w:val="098826F0"/>
    <w:rsid w:val="09A908B8"/>
    <w:rsid w:val="09AF4121"/>
    <w:rsid w:val="09AF5ECF"/>
    <w:rsid w:val="09BA4874"/>
    <w:rsid w:val="09C33728"/>
    <w:rsid w:val="09E87633"/>
    <w:rsid w:val="09EF09C1"/>
    <w:rsid w:val="09FE6E56"/>
    <w:rsid w:val="0A0106F5"/>
    <w:rsid w:val="0A053D41"/>
    <w:rsid w:val="0A195A3E"/>
    <w:rsid w:val="0A326B00"/>
    <w:rsid w:val="0A382368"/>
    <w:rsid w:val="0A456833"/>
    <w:rsid w:val="0A4725AB"/>
    <w:rsid w:val="0A546A76"/>
    <w:rsid w:val="0A6A0048"/>
    <w:rsid w:val="0A6F38B0"/>
    <w:rsid w:val="0A856C30"/>
    <w:rsid w:val="0AAE262A"/>
    <w:rsid w:val="0AEB73DB"/>
    <w:rsid w:val="0AF0679F"/>
    <w:rsid w:val="0B163D2C"/>
    <w:rsid w:val="0B2226D0"/>
    <w:rsid w:val="0B246449"/>
    <w:rsid w:val="0B352404"/>
    <w:rsid w:val="0B383B5C"/>
    <w:rsid w:val="0B492353"/>
    <w:rsid w:val="0B584344"/>
    <w:rsid w:val="0B5A00BC"/>
    <w:rsid w:val="0B5C3E34"/>
    <w:rsid w:val="0B640F3B"/>
    <w:rsid w:val="0B6B4077"/>
    <w:rsid w:val="0B7C0033"/>
    <w:rsid w:val="0B9A495D"/>
    <w:rsid w:val="0BA05B13"/>
    <w:rsid w:val="0BA61553"/>
    <w:rsid w:val="0BBE689D"/>
    <w:rsid w:val="0BC8771C"/>
    <w:rsid w:val="0BCB4B16"/>
    <w:rsid w:val="0BCD6AE0"/>
    <w:rsid w:val="0BD240F7"/>
    <w:rsid w:val="0BD25EA5"/>
    <w:rsid w:val="0C094A37"/>
    <w:rsid w:val="0C154BDA"/>
    <w:rsid w:val="0C340988"/>
    <w:rsid w:val="0C4469D5"/>
    <w:rsid w:val="0C523489"/>
    <w:rsid w:val="0C745AD0"/>
    <w:rsid w:val="0CA43CE5"/>
    <w:rsid w:val="0CB832EC"/>
    <w:rsid w:val="0CBE467B"/>
    <w:rsid w:val="0CC2416B"/>
    <w:rsid w:val="0CCC6D98"/>
    <w:rsid w:val="0CE75980"/>
    <w:rsid w:val="0D0B3D64"/>
    <w:rsid w:val="0D38267F"/>
    <w:rsid w:val="0D63594E"/>
    <w:rsid w:val="0D705975"/>
    <w:rsid w:val="0D9C2C0E"/>
    <w:rsid w:val="0DA43871"/>
    <w:rsid w:val="0DA50DBC"/>
    <w:rsid w:val="0DAF012D"/>
    <w:rsid w:val="0DFF4F4B"/>
    <w:rsid w:val="0E0448FF"/>
    <w:rsid w:val="0E2826F4"/>
    <w:rsid w:val="0E4A2881"/>
    <w:rsid w:val="0E5232CD"/>
    <w:rsid w:val="0E7771D7"/>
    <w:rsid w:val="0E7C47EE"/>
    <w:rsid w:val="0E9E4764"/>
    <w:rsid w:val="0EA23611"/>
    <w:rsid w:val="0EED1247"/>
    <w:rsid w:val="0EFF16A6"/>
    <w:rsid w:val="0F182768"/>
    <w:rsid w:val="0F5F2145"/>
    <w:rsid w:val="0F694D72"/>
    <w:rsid w:val="0F803E6A"/>
    <w:rsid w:val="0F827BE2"/>
    <w:rsid w:val="0F851480"/>
    <w:rsid w:val="0F87169C"/>
    <w:rsid w:val="0FC1695C"/>
    <w:rsid w:val="0FD348E1"/>
    <w:rsid w:val="0FF03B9A"/>
    <w:rsid w:val="0FF17FD6"/>
    <w:rsid w:val="0FFA00C0"/>
    <w:rsid w:val="0FFC7994"/>
    <w:rsid w:val="1005446D"/>
    <w:rsid w:val="100B7ABF"/>
    <w:rsid w:val="100D1BA1"/>
    <w:rsid w:val="102313C5"/>
    <w:rsid w:val="10371EDE"/>
    <w:rsid w:val="105C6685"/>
    <w:rsid w:val="105F7F23"/>
    <w:rsid w:val="108D683E"/>
    <w:rsid w:val="10B97633"/>
    <w:rsid w:val="10BE4C49"/>
    <w:rsid w:val="10DE52EC"/>
    <w:rsid w:val="10E50428"/>
    <w:rsid w:val="10E87F18"/>
    <w:rsid w:val="10EA5A3E"/>
    <w:rsid w:val="10ED552F"/>
    <w:rsid w:val="11082369"/>
    <w:rsid w:val="11162CD7"/>
    <w:rsid w:val="11252F1A"/>
    <w:rsid w:val="11390774"/>
    <w:rsid w:val="113A4C18"/>
    <w:rsid w:val="114A2981"/>
    <w:rsid w:val="1170063A"/>
    <w:rsid w:val="1173012A"/>
    <w:rsid w:val="11733C86"/>
    <w:rsid w:val="118539B9"/>
    <w:rsid w:val="11CB1D14"/>
    <w:rsid w:val="11D84431"/>
    <w:rsid w:val="11E15093"/>
    <w:rsid w:val="11FF19BD"/>
    <w:rsid w:val="12092610"/>
    <w:rsid w:val="12176D07"/>
    <w:rsid w:val="121E0DD6"/>
    <w:rsid w:val="12437AFC"/>
    <w:rsid w:val="12555A81"/>
    <w:rsid w:val="125A6BF4"/>
    <w:rsid w:val="126D6927"/>
    <w:rsid w:val="12816876"/>
    <w:rsid w:val="12891287"/>
    <w:rsid w:val="12B04A66"/>
    <w:rsid w:val="12C83587"/>
    <w:rsid w:val="12D44BF8"/>
    <w:rsid w:val="130F367A"/>
    <w:rsid w:val="130F5C30"/>
    <w:rsid w:val="13370CE3"/>
    <w:rsid w:val="133E2072"/>
    <w:rsid w:val="13781A27"/>
    <w:rsid w:val="13873A19"/>
    <w:rsid w:val="13EB21F9"/>
    <w:rsid w:val="140B63F8"/>
    <w:rsid w:val="142E0338"/>
    <w:rsid w:val="14333BA0"/>
    <w:rsid w:val="143A4F2F"/>
    <w:rsid w:val="14740441"/>
    <w:rsid w:val="148D505F"/>
    <w:rsid w:val="14A66120"/>
    <w:rsid w:val="14B7657F"/>
    <w:rsid w:val="14D30DD7"/>
    <w:rsid w:val="14F670A8"/>
    <w:rsid w:val="15455939"/>
    <w:rsid w:val="1550486A"/>
    <w:rsid w:val="1565422D"/>
    <w:rsid w:val="15787ABD"/>
    <w:rsid w:val="157E709D"/>
    <w:rsid w:val="159B7C4F"/>
    <w:rsid w:val="15A44D56"/>
    <w:rsid w:val="15B12FCF"/>
    <w:rsid w:val="15BB7257"/>
    <w:rsid w:val="15C745A0"/>
    <w:rsid w:val="15ED4C2F"/>
    <w:rsid w:val="16096967"/>
    <w:rsid w:val="160B0931"/>
    <w:rsid w:val="160E6673"/>
    <w:rsid w:val="161812A0"/>
    <w:rsid w:val="16504596"/>
    <w:rsid w:val="1676154A"/>
    <w:rsid w:val="16781D3E"/>
    <w:rsid w:val="16787E55"/>
    <w:rsid w:val="167A7865"/>
    <w:rsid w:val="168A2AF7"/>
    <w:rsid w:val="16941F35"/>
    <w:rsid w:val="169D3553"/>
    <w:rsid w:val="16A82624"/>
    <w:rsid w:val="16B26FFE"/>
    <w:rsid w:val="16D056D6"/>
    <w:rsid w:val="16F47617"/>
    <w:rsid w:val="16F75359"/>
    <w:rsid w:val="16FA09A5"/>
    <w:rsid w:val="172404DE"/>
    <w:rsid w:val="17283764"/>
    <w:rsid w:val="17410382"/>
    <w:rsid w:val="1752258F"/>
    <w:rsid w:val="178F10EE"/>
    <w:rsid w:val="17991C55"/>
    <w:rsid w:val="179A7DFE"/>
    <w:rsid w:val="179C380B"/>
    <w:rsid w:val="179D7CAF"/>
    <w:rsid w:val="179E7583"/>
    <w:rsid w:val="17AF79E2"/>
    <w:rsid w:val="17E56F60"/>
    <w:rsid w:val="17F32CA0"/>
    <w:rsid w:val="17F51899"/>
    <w:rsid w:val="17FB65B1"/>
    <w:rsid w:val="180F222F"/>
    <w:rsid w:val="18154FDF"/>
    <w:rsid w:val="181D2B9D"/>
    <w:rsid w:val="18243F2C"/>
    <w:rsid w:val="183323C1"/>
    <w:rsid w:val="183C74C7"/>
    <w:rsid w:val="18695DE3"/>
    <w:rsid w:val="18722EE9"/>
    <w:rsid w:val="18932E60"/>
    <w:rsid w:val="189866C8"/>
    <w:rsid w:val="189C07CD"/>
    <w:rsid w:val="18A230A3"/>
    <w:rsid w:val="18A40365"/>
    <w:rsid w:val="18DC0E31"/>
    <w:rsid w:val="19151AC7"/>
    <w:rsid w:val="19290DD7"/>
    <w:rsid w:val="19393A07"/>
    <w:rsid w:val="194A1770"/>
    <w:rsid w:val="19A52E4A"/>
    <w:rsid w:val="19BB54A5"/>
    <w:rsid w:val="19CE1834"/>
    <w:rsid w:val="19E17FAF"/>
    <w:rsid w:val="19F53DD2"/>
    <w:rsid w:val="19F811CC"/>
    <w:rsid w:val="19FA13E8"/>
    <w:rsid w:val="19FB6F0E"/>
    <w:rsid w:val="19FF59D9"/>
    <w:rsid w:val="1A2975D8"/>
    <w:rsid w:val="1A2B252D"/>
    <w:rsid w:val="1A3B555D"/>
    <w:rsid w:val="1A450189"/>
    <w:rsid w:val="1A4E5290"/>
    <w:rsid w:val="1A75281D"/>
    <w:rsid w:val="1AA11864"/>
    <w:rsid w:val="1AAB7407"/>
    <w:rsid w:val="1ACB4B33"/>
    <w:rsid w:val="1AD0039B"/>
    <w:rsid w:val="1ADF238C"/>
    <w:rsid w:val="1AF71484"/>
    <w:rsid w:val="1AFC6A9A"/>
    <w:rsid w:val="1B1262BE"/>
    <w:rsid w:val="1B1464DA"/>
    <w:rsid w:val="1B171B26"/>
    <w:rsid w:val="1B2B3823"/>
    <w:rsid w:val="1B3C333B"/>
    <w:rsid w:val="1B55264E"/>
    <w:rsid w:val="1B5C578B"/>
    <w:rsid w:val="1B5E1503"/>
    <w:rsid w:val="1B636B19"/>
    <w:rsid w:val="1B7A510A"/>
    <w:rsid w:val="1BC31CAE"/>
    <w:rsid w:val="1BDB0DA5"/>
    <w:rsid w:val="1BDB37F6"/>
    <w:rsid w:val="1BE7599C"/>
    <w:rsid w:val="1C00080C"/>
    <w:rsid w:val="1C142509"/>
    <w:rsid w:val="1C2C1601"/>
    <w:rsid w:val="1C387FA6"/>
    <w:rsid w:val="1C6012AB"/>
    <w:rsid w:val="1C730FDE"/>
    <w:rsid w:val="1C872CDB"/>
    <w:rsid w:val="1C8925AF"/>
    <w:rsid w:val="1C8B457A"/>
    <w:rsid w:val="1C9A2A0F"/>
    <w:rsid w:val="1CC57360"/>
    <w:rsid w:val="1CCE090A"/>
    <w:rsid w:val="1CDC4DD5"/>
    <w:rsid w:val="1CDD0B4D"/>
    <w:rsid w:val="1CE7377A"/>
    <w:rsid w:val="1CFA16FF"/>
    <w:rsid w:val="1D012A8E"/>
    <w:rsid w:val="1D1C3424"/>
    <w:rsid w:val="1D2105A5"/>
    <w:rsid w:val="1D392227"/>
    <w:rsid w:val="1D4806BC"/>
    <w:rsid w:val="1D70376F"/>
    <w:rsid w:val="1D880AB9"/>
    <w:rsid w:val="1DC064A5"/>
    <w:rsid w:val="1DD45AAC"/>
    <w:rsid w:val="1DF93765"/>
    <w:rsid w:val="1E1E766F"/>
    <w:rsid w:val="1E480248"/>
    <w:rsid w:val="1E546B22"/>
    <w:rsid w:val="1E8A260F"/>
    <w:rsid w:val="1E90231B"/>
    <w:rsid w:val="1EA731C1"/>
    <w:rsid w:val="1EB044EF"/>
    <w:rsid w:val="1ECA6EAF"/>
    <w:rsid w:val="1EF02DBA"/>
    <w:rsid w:val="1EF81C6E"/>
    <w:rsid w:val="1F10520A"/>
    <w:rsid w:val="1F132604"/>
    <w:rsid w:val="1F3A5DE3"/>
    <w:rsid w:val="1F75506D"/>
    <w:rsid w:val="1F7D2831"/>
    <w:rsid w:val="1F881244"/>
    <w:rsid w:val="1F9966D3"/>
    <w:rsid w:val="1FAF67D1"/>
    <w:rsid w:val="1FC3227C"/>
    <w:rsid w:val="1FE35BFE"/>
    <w:rsid w:val="1FED554B"/>
    <w:rsid w:val="1FEF4E1F"/>
    <w:rsid w:val="1FF13C5E"/>
    <w:rsid w:val="200A7EAB"/>
    <w:rsid w:val="200D799B"/>
    <w:rsid w:val="202D76F6"/>
    <w:rsid w:val="206770AC"/>
    <w:rsid w:val="20895274"/>
    <w:rsid w:val="20A15CB6"/>
    <w:rsid w:val="20BD316F"/>
    <w:rsid w:val="20C22534"/>
    <w:rsid w:val="20D64231"/>
    <w:rsid w:val="21041CDF"/>
    <w:rsid w:val="21110DC5"/>
    <w:rsid w:val="213276BA"/>
    <w:rsid w:val="21823A71"/>
    <w:rsid w:val="218617B3"/>
    <w:rsid w:val="219043E0"/>
    <w:rsid w:val="21957C48"/>
    <w:rsid w:val="21A47E8B"/>
    <w:rsid w:val="21DA38AD"/>
    <w:rsid w:val="21DF0EC4"/>
    <w:rsid w:val="21E64000"/>
    <w:rsid w:val="21E93AF0"/>
    <w:rsid w:val="21F52495"/>
    <w:rsid w:val="21FE134A"/>
    <w:rsid w:val="22056B7C"/>
    <w:rsid w:val="22145011"/>
    <w:rsid w:val="22196184"/>
    <w:rsid w:val="22244B28"/>
    <w:rsid w:val="22342FBD"/>
    <w:rsid w:val="223631D9"/>
    <w:rsid w:val="22525B39"/>
    <w:rsid w:val="22590C76"/>
    <w:rsid w:val="22603DB2"/>
    <w:rsid w:val="22635651"/>
    <w:rsid w:val="22745AB0"/>
    <w:rsid w:val="2283639D"/>
    <w:rsid w:val="229E0275"/>
    <w:rsid w:val="22BD56C6"/>
    <w:rsid w:val="22F95FB5"/>
    <w:rsid w:val="230B288A"/>
    <w:rsid w:val="231B417D"/>
    <w:rsid w:val="2331574F"/>
    <w:rsid w:val="234942DA"/>
    <w:rsid w:val="235002CB"/>
    <w:rsid w:val="23515DF1"/>
    <w:rsid w:val="23531B69"/>
    <w:rsid w:val="236B6EB3"/>
    <w:rsid w:val="23775858"/>
    <w:rsid w:val="23952182"/>
    <w:rsid w:val="23A128D5"/>
    <w:rsid w:val="23B4085A"/>
    <w:rsid w:val="23B56380"/>
    <w:rsid w:val="23FA3D93"/>
    <w:rsid w:val="24015121"/>
    <w:rsid w:val="24030E99"/>
    <w:rsid w:val="24311EAA"/>
    <w:rsid w:val="24455956"/>
    <w:rsid w:val="24547947"/>
    <w:rsid w:val="248154B2"/>
    <w:rsid w:val="24912949"/>
    <w:rsid w:val="24A51F50"/>
    <w:rsid w:val="24BC54EC"/>
    <w:rsid w:val="24DB1E16"/>
    <w:rsid w:val="24EF141E"/>
    <w:rsid w:val="24EF7670"/>
    <w:rsid w:val="25276E09"/>
    <w:rsid w:val="253908EB"/>
    <w:rsid w:val="25473008"/>
    <w:rsid w:val="254774AC"/>
    <w:rsid w:val="25535E50"/>
    <w:rsid w:val="25666662"/>
    <w:rsid w:val="257302A1"/>
    <w:rsid w:val="25A22934"/>
    <w:rsid w:val="25B83F05"/>
    <w:rsid w:val="25CD5C03"/>
    <w:rsid w:val="25CF4697"/>
    <w:rsid w:val="25E371D4"/>
    <w:rsid w:val="25F767DC"/>
    <w:rsid w:val="26086C3B"/>
    <w:rsid w:val="26153106"/>
    <w:rsid w:val="26284BE7"/>
    <w:rsid w:val="262A4E03"/>
    <w:rsid w:val="263C68E5"/>
    <w:rsid w:val="26571970"/>
    <w:rsid w:val="265F25D3"/>
    <w:rsid w:val="26A1499A"/>
    <w:rsid w:val="26B20955"/>
    <w:rsid w:val="26BC7A25"/>
    <w:rsid w:val="26C03072"/>
    <w:rsid w:val="26C8461C"/>
    <w:rsid w:val="26D568A3"/>
    <w:rsid w:val="26D905D7"/>
    <w:rsid w:val="26EA27E4"/>
    <w:rsid w:val="26F947D6"/>
    <w:rsid w:val="271138CD"/>
    <w:rsid w:val="27160EE4"/>
    <w:rsid w:val="27462BA9"/>
    <w:rsid w:val="275163C0"/>
    <w:rsid w:val="27BA5D13"/>
    <w:rsid w:val="27F21951"/>
    <w:rsid w:val="28313A6D"/>
    <w:rsid w:val="284D302B"/>
    <w:rsid w:val="285048C9"/>
    <w:rsid w:val="285A03C2"/>
    <w:rsid w:val="285C6DCA"/>
    <w:rsid w:val="28687E65"/>
    <w:rsid w:val="28A40771"/>
    <w:rsid w:val="28B430AA"/>
    <w:rsid w:val="28B5472C"/>
    <w:rsid w:val="28BA1D43"/>
    <w:rsid w:val="28BC3D0D"/>
    <w:rsid w:val="28BE1F1D"/>
    <w:rsid w:val="28D42E04"/>
    <w:rsid w:val="28E34D74"/>
    <w:rsid w:val="28ED3EC6"/>
    <w:rsid w:val="29115E06"/>
    <w:rsid w:val="29187D76"/>
    <w:rsid w:val="292875F4"/>
    <w:rsid w:val="29424212"/>
    <w:rsid w:val="294F4B81"/>
    <w:rsid w:val="29542197"/>
    <w:rsid w:val="29883BEF"/>
    <w:rsid w:val="29B82726"/>
    <w:rsid w:val="29C15A7E"/>
    <w:rsid w:val="29C56BF1"/>
    <w:rsid w:val="29CE019B"/>
    <w:rsid w:val="29D86924"/>
    <w:rsid w:val="29E057D9"/>
    <w:rsid w:val="29E242F9"/>
    <w:rsid w:val="2A2953D2"/>
    <w:rsid w:val="2A2C6C70"/>
    <w:rsid w:val="2A41096D"/>
    <w:rsid w:val="2A5266D7"/>
    <w:rsid w:val="2A5D507B"/>
    <w:rsid w:val="2A73489F"/>
    <w:rsid w:val="2A7A5C2D"/>
    <w:rsid w:val="2AAA181B"/>
    <w:rsid w:val="2AAB4039"/>
    <w:rsid w:val="2AC11AAE"/>
    <w:rsid w:val="2AD74E2E"/>
    <w:rsid w:val="2AD92954"/>
    <w:rsid w:val="2AE00186"/>
    <w:rsid w:val="2AE5754B"/>
    <w:rsid w:val="2AFB6D6E"/>
    <w:rsid w:val="2B193790"/>
    <w:rsid w:val="2B330D0F"/>
    <w:rsid w:val="2B373B1E"/>
    <w:rsid w:val="2B396608"/>
    <w:rsid w:val="2B434271"/>
    <w:rsid w:val="2B53288D"/>
    <w:rsid w:val="2B593A95"/>
    <w:rsid w:val="2B8A1EA0"/>
    <w:rsid w:val="2B9B22FF"/>
    <w:rsid w:val="2BA80578"/>
    <w:rsid w:val="2BAE2033"/>
    <w:rsid w:val="2BB05DAB"/>
    <w:rsid w:val="2BB86A0D"/>
    <w:rsid w:val="2BD575BF"/>
    <w:rsid w:val="2C155C0E"/>
    <w:rsid w:val="2C4D184B"/>
    <w:rsid w:val="2C630FF3"/>
    <w:rsid w:val="2C7212B2"/>
    <w:rsid w:val="2C8132A3"/>
    <w:rsid w:val="2CA20917"/>
    <w:rsid w:val="2CA3146B"/>
    <w:rsid w:val="2CA376BD"/>
    <w:rsid w:val="2CBA7FCE"/>
    <w:rsid w:val="2CC3523C"/>
    <w:rsid w:val="2CC969F8"/>
    <w:rsid w:val="2CDD4252"/>
    <w:rsid w:val="2CF4686B"/>
    <w:rsid w:val="2CFA4E04"/>
    <w:rsid w:val="2D0D4B37"/>
    <w:rsid w:val="2D173C07"/>
    <w:rsid w:val="2D216834"/>
    <w:rsid w:val="2D241F6F"/>
    <w:rsid w:val="2D3B5B48"/>
    <w:rsid w:val="2D4744ED"/>
    <w:rsid w:val="2D480265"/>
    <w:rsid w:val="2D5E5392"/>
    <w:rsid w:val="2D614E83"/>
    <w:rsid w:val="2D984D48"/>
    <w:rsid w:val="2DAF5BEE"/>
    <w:rsid w:val="2DC45B3D"/>
    <w:rsid w:val="2DEC0BF0"/>
    <w:rsid w:val="2DF83A39"/>
    <w:rsid w:val="2DF857E7"/>
    <w:rsid w:val="2E140F22"/>
    <w:rsid w:val="2E516CA5"/>
    <w:rsid w:val="2E5F5866"/>
    <w:rsid w:val="2E620EB2"/>
    <w:rsid w:val="2E6C1D31"/>
    <w:rsid w:val="2E7D5CEC"/>
    <w:rsid w:val="2E89627C"/>
    <w:rsid w:val="2EAB0AAB"/>
    <w:rsid w:val="2EB07E70"/>
    <w:rsid w:val="2EB23BE8"/>
    <w:rsid w:val="2EBC2225"/>
    <w:rsid w:val="2ED23552"/>
    <w:rsid w:val="2EE1627B"/>
    <w:rsid w:val="2F1F2FAA"/>
    <w:rsid w:val="2F25260C"/>
    <w:rsid w:val="2F527179"/>
    <w:rsid w:val="2F792957"/>
    <w:rsid w:val="2FAA1B88"/>
    <w:rsid w:val="2FAD2601"/>
    <w:rsid w:val="2FB90FA6"/>
    <w:rsid w:val="2FB92D54"/>
    <w:rsid w:val="2FD23E16"/>
    <w:rsid w:val="2FD61B58"/>
    <w:rsid w:val="2FD858D0"/>
    <w:rsid w:val="2FF16992"/>
    <w:rsid w:val="30000983"/>
    <w:rsid w:val="30393E95"/>
    <w:rsid w:val="30484B34"/>
    <w:rsid w:val="30803872"/>
    <w:rsid w:val="308C66BA"/>
    <w:rsid w:val="30915A7F"/>
    <w:rsid w:val="309F1F4A"/>
    <w:rsid w:val="30A36FF1"/>
    <w:rsid w:val="30A9101A"/>
    <w:rsid w:val="30BA6D84"/>
    <w:rsid w:val="30D342E9"/>
    <w:rsid w:val="30DA11D4"/>
    <w:rsid w:val="30DD17B8"/>
    <w:rsid w:val="30E16A06"/>
    <w:rsid w:val="310B3A83"/>
    <w:rsid w:val="31126BC0"/>
    <w:rsid w:val="311741D6"/>
    <w:rsid w:val="31230DCD"/>
    <w:rsid w:val="314174A5"/>
    <w:rsid w:val="315947EF"/>
    <w:rsid w:val="315E1E05"/>
    <w:rsid w:val="316D029A"/>
    <w:rsid w:val="317F1D7B"/>
    <w:rsid w:val="318D4498"/>
    <w:rsid w:val="31C51E84"/>
    <w:rsid w:val="31CB6D6E"/>
    <w:rsid w:val="31CD2AE7"/>
    <w:rsid w:val="31D04385"/>
    <w:rsid w:val="31E63BA8"/>
    <w:rsid w:val="321B76E8"/>
    <w:rsid w:val="321E77E6"/>
    <w:rsid w:val="322F72FD"/>
    <w:rsid w:val="323E39E4"/>
    <w:rsid w:val="326F1DF0"/>
    <w:rsid w:val="3276317E"/>
    <w:rsid w:val="32764F2C"/>
    <w:rsid w:val="327B2543"/>
    <w:rsid w:val="32933D30"/>
    <w:rsid w:val="329B0E37"/>
    <w:rsid w:val="32A41A99"/>
    <w:rsid w:val="32B55A55"/>
    <w:rsid w:val="32BB6DE3"/>
    <w:rsid w:val="33174961"/>
    <w:rsid w:val="3321758E"/>
    <w:rsid w:val="3324631F"/>
    <w:rsid w:val="334C3C43"/>
    <w:rsid w:val="33613E2E"/>
    <w:rsid w:val="336A2CE3"/>
    <w:rsid w:val="33775400"/>
    <w:rsid w:val="337B4EF0"/>
    <w:rsid w:val="33AC4EDA"/>
    <w:rsid w:val="33C148CD"/>
    <w:rsid w:val="33C543BD"/>
    <w:rsid w:val="33E505BB"/>
    <w:rsid w:val="33EA5BD2"/>
    <w:rsid w:val="33F94067"/>
    <w:rsid w:val="3402116D"/>
    <w:rsid w:val="344572AC"/>
    <w:rsid w:val="34787A33"/>
    <w:rsid w:val="34A43FD3"/>
    <w:rsid w:val="34A71D15"/>
    <w:rsid w:val="34A75871"/>
    <w:rsid w:val="34BA5F8F"/>
    <w:rsid w:val="34C24459"/>
    <w:rsid w:val="34CB5A03"/>
    <w:rsid w:val="34D10B40"/>
    <w:rsid w:val="34D83C7C"/>
    <w:rsid w:val="3538471B"/>
    <w:rsid w:val="354237EC"/>
    <w:rsid w:val="35466E38"/>
    <w:rsid w:val="35731BF7"/>
    <w:rsid w:val="35AB7BFD"/>
    <w:rsid w:val="35AD6EB7"/>
    <w:rsid w:val="35BF4E3C"/>
    <w:rsid w:val="35E328D9"/>
    <w:rsid w:val="35F25212"/>
    <w:rsid w:val="35F5305F"/>
    <w:rsid w:val="36262CA9"/>
    <w:rsid w:val="362C0724"/>
    <w:rsid w:val="364517E5"/>
    <w:rsid w:val="364F4412"/>
    <w:rsid w:val="36883480"/>
    <w:rsid w:val="369B7657"/>
    <w:rsid w:val="36AA1648"/>
    <w:rsid w:val="36B6623F"/>
    <w:rsid w:val="36D13079"/>
    <w:rsid w:val="36EA7C97"/>
    <w:rsid w:val="37066EE3"/>
    <w:rsid w:val="374D39F0"/>
    <w:rsid w:val="3756532C"/>
    <w:rsid w:val="376712E7"/>
    <w:rsid w:val="376822D6"/>
    <w:rsid w:val="37B3277F"/>
    <w:rsid w:val="37C64260"/>
    <w:rsid w:val="37CD35DE"/>
    <w:rsid w:val="37D44BCF"/>
    <w:rsid w:val="37E8067A"/>
    <w:rsid w:val="37F16A56"/>
    <w:rsid w:val="381E22EE"/>
    <w:rsid w:val="383C2774"/>
    <w:rsid w:val="38602906"/>
    <w:rsid w:val="38651CCB"/>
    <w:rsid w:val="386817BB"/>
    <w:rsid w:val="387737AC"/>
    <w:rsid w:val="38A74091"/>
    <w:rsid w:val="38AD5420"/>
    <w:rsid w:val="38B14F10"/>
    <w:rsid w:val="38B642D4"/>
    <w:rsid w:val="38B7004D"/>
    <w:rsid w:val="38BD38B5"/>
    <w:rsid w:val="38C509BB"/>
    <w:rsid w:val="38DD7AB3"/>
    <w:rsid w:val="38F2407A"/>
    <w:rsid w:val="38F60B75"/>
    <w:rsid w:val="38F66DC7"/>
    <w:rsid w:val="39047736"/>
    <w:rsid w:val="39184F8F"/>
    <w:rsid w:val="391F00CC"/>
    <w:rsid w:val="39557F91"/>
    <w:rsid w:val="39641F82"/>
    <w:rsid w:val="397C3770"/>
    <w:rsid w:val="39867167"/>
    <w:rsid w:val="398919E9"/>
    <w:rsid w:val="398C14D9"/>
    <w:rsid w:val="39A22AAB"/>
    <w:rsid w:val="39DC420F"/>
    <w:rsid w:val="39F6318E"/>
    <w:rsid w:val="3A035551"/>
    <w:rsid w:val="3A7E0E22"/>
    <w:rsid w:val="3A7E52C6"/>
    <w:rsid w:val="3A937945"/>
    <w:rsid w:val="3A96260F"/>
    <w:rsid w:val="3AA50AA5"/>
    <w:rsid w:val="3AAF36D1"/>
    <w:rsid w:val="3ABB2076"/>
    <w:rsid w:val="3AC71C82"/>
    <w:rsid w:val="3B023801"/>
    <w:rsid w:val="3B190B4B"/>
    <w:rsid w:val="3B245E6D"/>
    <w:rsid w:val="3B295232"/>
    <w:rsid w:val="3B2E0A9A"/>
    <w:rsid w:val="3B4A4468"/>
    <w:rsid w:val="3B6E6BBB"/>
    <w:rsid w:val="3B842468"/>
    <w:rsid w:val="3B911029"/>
    <w:rsid w:val="3BB52F69"/>
    <w:rsid w:val="3BB645EB"/>
    <w:rsid w:val="3BB74292"/>
    <w:rsid w:val="3BC62A80"/>
    <w:rsid w:val="3C10341E"/>
    <w:rsid w:val="3C241E9D"/>
    <w:rsid w:val="3C291261"/>
    <w:rsid w:val="3C3245BA"/>
    <w:rsid w:val="3C4542ED"/>
    <w:rsid w:val="3C4936B2"/>
    <w:rsid w:val="3C4C354D"/>
    <w:rsid w:val="3C5A58BF"/>
    <w:rsid w:val="3C664263"/>
    <w:rsid w:val="3C7626F9"/>
    <w:rsid w:val="3C7C5835"/>
    <w:rsid w:val="3C801BC8"/>
    <w:rsid w:val="3C97266F"/>
    <w:rsid w:val="3CA1704A"/>
    <w:rsid w:val="3CA56B3A"/>
    <w:rsid w:val="3CBB635D"/>
    <w:rsid w:val="3CBC20D5"/>
    <w:rsid w:val="3CCF1E09"/>
    <w:rsid w:val="3CD76F0F"/>
    <w:rsid w:val="3CE07B72"/>
    <w:rsid w:val="3D006466"/>
    <w:rsid w:val="3D0F73BD"/>
    <w:rsid w:val="3D121548"/>
    <w:rsid w:val="3D1912D6"/>
    <w:rsid w:val="3D233F03"/>
    <w:rsid w:val="3D2F20AB"/>
    <w:rsid w:val="3D2F4655"/>
    <w:rsid w:val="3D483969"/>
    <w:rsid w:val="3D536596"/>
    <w:rsid w:val="3D5F13DF"/>
    <w:rsid w:val="3D622C7D"/>
    <w:rsid w:val="3D6C58AA"/>
    <w:rsid w:val="3D762284"/>
    <w:rsid w:val="3D913562"/>
    <w:rsid w:val="3DA70690"/>
    <w:rsid w:val="3DB50FFF"/>
    <w:rsid w:val="3DC362EA"/>
    <w:rsid w:val="3DCB25D0"/>
    <w:rsid w:val="3DCF620C"/>
    <w:rsid w:val="3DD86A9B"/>
    <w:rsid w:val="3DDB2310"/>
    <w:rsid w:val="3E053F45"/>
    <w:rsid w:val="3E262BF5"/>
    <w:rsid w:val="3E637762"/>
    <w:rsid w:val="3E742C68"/>
    <w:rsid w:val="3E7569E0"/>
    <w:rsid w:val="3E970704"/>
    <w:rsid w:val="3EB017C6"/>
    <w:rsid w:val="3EBA2645"/>
    <w:rsid w:val="3ECA6D2C"/>
    <w:rsid w:val="3ECE4FA3"/>
    <w:rsid w:val="3EF20030"/>
    <w:rsid w:val="3F1735F3"/>
    <w:rsid w:val="3F2F3033"/>
    <w:rsid w:val="3F4F5483"/>
    <w:rsid w:val="3F7B04E4"/>
    <w:rsid w:val="3F916F38"/>
    <w:rsid w:val="3F9410E8"/>
    <w:rsid w:val="3F942181"/>
    <w:rsid w:val="3FB11C9A"/>
    <w:rsid w:val="3FCE0156"/>
    <w:rsid w:val="3FF25B7C"/>
    <w:rsid w:val="3FFD6C8D"/>
    <w:rsid w:val="40041DC9"/>
    <w:rsid w:val="40275AB8"/>
    <w:rsid w:val="403A57EB"/>
    <w:rsid w:val="40442740"/>
    <w:rsid w:val="40675209"/>
    <w:rsid w:val="407D1B7C"/>
    <w:rsid w:val="407F58F4"/>
    <w:rsid w:val="40896772"/>
    <w:rsid w:val="40AE7F87"/>
    <w:rsid w:val="40B25CC9"/>
    <w:rsid w:val="40EC4A9A"/>
    <w:rsid w:val="40F956A6"/>
    <w:rsid w:val="412344D1"/>
    <w:rsid w:val="41314E40"/>
    <w:rsid w:val="414C1C7A"/>
    <w:rsid w:val="41566655"/>
    <w:rsid w:val="41847666"/>
    <w:rsid w:val="41AC2719"/>
    <w:rsid w:val="41BA3087"/>
    <w:rsid w:val="41C04416"/>
    <w:rsid w:val="41C537DA"/>
    <w:rsid w:val="42380450"/>
    <w:rsid w:val="42426BD9"/>
    <w:rsid w:val="425012F6"/>
    <w:rsid w:val="42576B28"/>
    <w:rsid w:val="42750D5C"/>
    <w:rsid w:val="429733C9"/>
    <w:rsid w:val="42EE2F04"/>
    <w:rsid w:val="434D31F4"/>
    <w:rsid w:val="43551122"/>
    <w:rsid w:val="439A79C3"/>
    <w:rsid w:val="43B9736F"/>
    <w:rsid w:val="43C401ED"/>
    <w:rsid w:val="43DB1093"/>
    <w:rsid w:val="44110F59"/>
    <w:rsid w:val="442E1B0B"/>
    <w:rsid w:val="442E38B9"/>
    <w:rsid w:val="44366C11"/>
    <w:rsid w:val="445175A7"/>
    <w:rsid w:val="445D419E"/>
    <w:rsid w:val="446C618F"/>
    <w:rsid w:val="448E07FB"/>
    <w:rsid w:val="44A92F3F"/>
    <w:rsid w:val="44E126D9"/>
    <w:rsid w:val="44E26451"/>
    <w:rsid w:val="44E81CBA"/>
    <w:rsid w:val="44F05012"/>
    <w:rsid w:val="44F64404"/>
    <w:rsid w:val="45204618"/>
    <w:rsid w:val="452B7DF8"/>
    <w:rsid w:val="453C5C71"/>
    <w:rsid w:val="453F5652"/>
    <w:rsid w:val="45515F3F"/>
    <w:rsid w:val="45C2075D"/>
    <w:rsid w:val="45DB181E"/>
    <w:rsid w:val="45F91CA4"/>
    <w:rsid w:val="462036D5"/>
    <w:rsid w:val="46222FA9"/>
    <w:rsid w:val="462A6302"/>
    <w:rsid w:val="463C77EA"/>
    <w:rsid w:val="464B69A4"/>
    <w:rsid w:val="46674E60"/>
    <w:rsid w:val="46BC33FE"/>
    <w:rsid w:val="46BF4C9C"/>
    <w:rsid w:val="46C10A14"/>
    <w:rsid w:val="46DB3848"/>
    <w:rsid w:val="470923BB"/>
    <w:rsid w:val="470D3C59"/>
    <w:rsid w:val="4714323A"/>
    <w:rsid w:val="47152B0E"/>
    <w:rsid w:val="47174AD8"/>
    <w:rsid w:val="47213261"/>
    <w:rsid w:val="47370CD6"/>
    <w:rsid w:val="4740402F"/>
    <w:rsid w:val="474B6530"/>
    <w:rsid w:val="475950F1"/>
    <w:rsid w:val="477C0DDF"/>
    <w:rsid w:val="47867568"/>
    <w:rsid w:val="47925F0D"/>
    <w:rsid w:val="47952AA8"/>
    <w:rsid w:val="47A619B8"/>
    <w:rsid w:val="47B642F1"/>
    <w:rsid w:val="47C35B26"/>
    <w:rsid w:val="47E501C1"/>
    <w:rsid w:val="4823125B"/>
    <w:rsid w:val="482955DB"/>
    <w:rsid w:val="482C45B3"/>
    <w:rsid w:val="483D231C"/>
    <w:rsid w:val="48580F04"/>
    <w:rsid w:val="48A00AFD"/>
    <w:rsid w:val="48A453A4"/>
    <w:rsid w:val="48AD60BB"/>
    <w:rsid w:val="48AF2AEE"/>
    <w:rsid w:val="48EC789E"/>
    <w:rsid w:val="48F7696F"/>
    <w:rsid w:val="48FF3A76"/>
    <w:rsid w:val="4901159C"/>
    <w:rsid w:val="490E3CB9"/>
    <w:rsid w:val="493354CD"/>
    <w:rsid w:val="49380D36"/>
    <w:rsid w:val="496F29A9"/>
    <w:rsid w:val="49795D3F"/>
    <w:rsid w:val="499D3907"/>
    <w:rsid w:val="499F0DB5"/>
    <w:rsid w:val="49B74350"/>
    <w:rsid w:val="49C10D2B"/>
    <w:rsid w:val="49CD76D0"/>
    <w:rsid w:val="49D942C7"/>
    <w:rsid w:val="4A007AA5"/>
    <w:rsid w:val="4A0550BC"/>
    <w:rsid w:val="4A08695A"/>
    <w:rsid w:val="4A2512BA"/>
    <w:rsid w:val="4A286FFC"/>
    <w:rsid w:val="4A2F2139"/>
    <w:rsid w:val="4A365275"/>
    <w:rsid w:val="4A370FED"/>
    <w:rsid w:val="4A45195C"/>
    <w:rsid w:val="4A791606"/>
    <w:rsid w:val="4A9B157C"/>
    <w:rsid w:val="4AAF6DD6"/>
    <w:rsid w:val="4AB368C6"/>
    <w:rsid w:val="4AB64608"/>
    <w:rsid w:val="4ADF590D"/>
    <w:rsid w:val="4AF12D99"/>
    <w:rsid w:val="4AF65AC7"/>
    <w:rsid w:val="4AFA44F5"/>
    <w:rsid w:val="4B0610EB"/>
    <w:rsid w:val="4B315A3D"/>
    <w:rsid w:val="4B575013"/>
    <w:rsid w:val="4B577B99"/>
    <w:rsid w:val="4B6978CC"/>
    <w:rsid w:val="4BAB57EF"/>
    <w:rsid w:val="4BBD5522"/>
    <w:rsid w:val="4BDC1E4C"/>
    <w:rsid w:val="4C172E84"/>
    <w:rsid w:val="4C1C66ED"/>
    <w:rsid w:val="4C2A2BB8"/>
    <w:rsid w:val="4C4D4AF8"/>
    <w:rsid w:val="4C6C31D0"/>
    <w:rsid w:val="4C6F4A6E"/>
    <w:rsid w:val="4C772927"/>
    <w:rsid w:val="4C8D1069"/>
    <w:rsid w:val="4C982217"/>
    <w:rsid w:val="4C9E35A6"/>
    <w:rsid w:val="4CA924D1"/>
    <w:rsid w:val="4CB30DFF"/>
    <w:rsid w:val="4CC96874"/>
    <w:rsid w:val="4CCC0113"/>
    <w:rsid w:val="4D1B63CD"/>
    <w:rsid w:val="4D20220D"/>
    <w:rsid w:val="4D292E6F"/>
    <w:rsid w:val="4D3A1520"/>
    <w:rsid w:val="4D5C3245"/>
    <w:rsid w:val="4D5F0F87"/>
    <w:rsid w:val="4D720CBA"/>
    <w:rsid w:val="4D8C33FE"/>
    <w:rsid w:val="4D902EEE"/>
    <w:rsid w:val="4D924EB8"/>
    <w:rsid w:val="4DB9129B"/>
    <w:rsid w:val="4DBD7A5B"/>
    <w:rsid w:val="4DC4528E"/>
    <w:rsid w:val="4E481A1B"/>
    <w:rsid w:val="4E5008D0"/>
    <w:rsid w:val="4E6879C7"/>
    <w:rsid w:val="4E6F51FA"/>
    <w:rsid w:val="4E9C58C3"/>
    <w:rsid w:val="4E9F67E0"/>
    <w:rsid w:val="4EC5306C"/>
    <w:rsid w:val="4ECA0682"/>
    <w:rsid w:val="4EEF1E97"/>
    <w:rsid w:val="4EF37BD9"/>
    <w:rsid w:val="4F007CA8"/>
    <w:rsid w:val="4F02606E"/>
    <w:rsid w:val="4F11005F"/>
    <w:rsid w:val="4F1B712F"/>
    <w:rsid w:val="4F22226C"/>
    <w:rsid w:val="4F2558B8"/>
    <w:rsid w:val="4F2C6C47"/>
    <w:rsid w:val="4F391364"/>
    <w:rsid w:val="4F4001F6"/>
    <w:rsid w:val="4F4915A7"/>
    <w:rsid w:val="4F4E4E0F"/>
    <w:rsid w:val="4F6B3C13"/>
    <w:rsid w:val="4F897B50"/>
    <w:rsid w:val="4FB1539E"/>
    <w:rsid w:val="4FBD2334"/>
    <w:rsid w:val="4FD07F1A"/>
    <w:rsid w:val="4FE17A31"/>
    <w:rsid w:val="500B71A4"/>
    <w:rsid w:val="502344EE"/>
    <w:rsid w:val="5039786D"/>
    <w:rsid w:val="5043249A"/>
    <w:rsid w:val="50447FC0"/>
    <w:rsid w:val="50461F8A"/>
    <w:rsid w:val="504F52E3"/>
    <w:rsid w:val="506A5C79"/>
    <w:rsid w:val="508D7BB9"/>
    <w:rsid w:val="509A373B"/>
    <w:rsid w:val="50A70C7B"/>
    <w:rsid w:val="50BC3FFA"/>
    <w:rsid w:val="50CC6933"/>
    <w:rsid w:val="50D13F4A"/>
    <w:rsid w:val="50DB26D2"/>
    <w:rsid w:val="50ED2406"/>
    <w:rsid w:val="50EF617E"/>
    <w:rsid w:val="50FB4B23"/>
    <w:rsid w:val="50FE4613"/>
    <w:rsid w:val="510065DD"/>
    <w:rsid w:val="51053BF3"/>
    <w:rsid w:val="510A2FB8"/>
    <w:rsid w:val="51200A2D"/>
    <w:rsid w:val="51622DF4"/>
    <w:rsid w:val="518B51DD"/>
    <w:rsid w:val="518C1C1F"/>
    <w:rsid w:val="519946BA"/>
    <w:rsid w:val="51BD0971"/>
    <w:rsid w:val="51C07B1A"/>
    <w:rsid w:val="51D96C4C"/>
    <w:rsid w:val="51F55A16"/>
    <w:rsid w:val="52132340"/>
    <w:rsid w:val="5224675F"/>
    <w:rsid w:val="523072B3"/>
    <w:rsid w:val="52377B12"/>
    <w:rsid w:val="52462715"/>
    <w:rsid w:val="52734B8D"/>
    <w:rsid w:val="527C6137"/>
    <w:rsid w:val="52B05402"/>
    <w:rsid w:val="52C04276"/>
    <w:rsid w:val="52C5192F"/>
    <w:rsid w:val="52DF4F3D"/>
    <w:rsid w:val="52FD1026"/>
    <w:rsid w:val="53204D14"/>
    <w:rsid w:val="532D6848"/>
    <w:rsid w:val="53315485"/>
    <w:rsid w:val="533B38FC"/>
    <w:rsid w:val="534558E3"/>
    <w:rsid w:val="535020BC"/>
    <w:rsid w:val="535449BE"/>
    <w:rsid w:val="53590226"/>
    <w:rsid w:val="536D782E"/>
    <w:rsid w:val="537B1F4B"/>
    <w:rsid w:val="539F20DD"/>
    <w:rsid w:val="53A84523"/>
    <w:rsid w:val="53B574F4"/>
    <w:rsid w:val="53BB2926"/>
    <w:rsid w:val="53C27B7A"/>
    <w:rsid w:val="53CB2ED2"/>
    <w:rsid w:val="53D31D87"/>
    <w:rsid w:val="53D53D51"/>
    <w:rsid w:val="53D77AC9"/>
    <w:rsid w:val="53DB0C3B"/>
    <w:rsid w:val="54014F98"/>
    <w:rsid w:val="540B32CF"/>
    <w:rsid w:val="54140080"/>
    <w:rsid w:val="542E3461"/>
    <w:rsid w:val="546155E5"/>
    <w:rsid w:val="546E385E"/>
    <w:rsid w:val="54B061F7"/>
    <w:rsid w:val="54B268BF"/>
    <w:rsid w:val="54BC281B"/>
    <w:rsid w:val="54C55B73"/>
    <w:rsid w:val="54ED5752"/>
    <w:rsid w:val="55086FD1"/>
    <w:rsid w:val="5521691A"/>
    <w:rsid w:val="5543118E"/>
    <w:rsid w:val="55450A62"/>
    <w:rsid w:val="55452810"/>
    <w:rsid w:val="554A7E27"/>
    <w:rsid w:val="55515659"/>
    <w:rsid w:val="55943798"/>
    <w:rsid w:val="55A0213D"/>
    <w:rsid w:val="55A97243"/>
    <w:rsid w:val="55AA2FBB"/>
    <w:rsid w:val="55AF05D2"/>
    <w:rsid w:val="55DD513F"/>
    <w:rsid w:val="55E93AE3"/>
    <w:rsid w:val="55EF419D"/>
    <w:rsid w:val="55F14746"/>
    <w:rsid w:val="56462CE4"/>
    <w:rsid w:val="56C1236A"/>
    <w:rsid w:val="56C96294"/>
    <w:rsid w:val="56D93B58"/>
    <w:rsid w:val="56DA342C"/>
    <w:rsid w:val="56E9366F"/>
    <w:rsid w:val="56ED7603"/>
    <w:rsid w:val="571E77BD"/>
    <w:rsid w:val="573945F7"/>
    <w:rsid w:val="573C7C43"/>
    <w:rsid w:val="574216FD"/>
    <w:rsid w:val="57475C4D"/>
    <w:rsid w:val="575C2093"/>
    <w:rsid w:val="576176AA"/>
    <w:rsid w:val="577B4C0F"/>
    <w:rsid w:val="577E64AD"/>
    <w:rsid w:val="57825F9E"/>
    <w:rsid w:val="57882E88"/>
    <w:rsid w:val="57AB2575"/>
    <w:rsid w:val="57B40121"/>
    <w:rsid w:val="57B721BF"/>
    <w:rsid w:val="57C71C02"/>
    <w:rsid w:val="57F97DF1"/>
    <w:rsid w:val="582A3F3F"/>
    <w:rsid w:val="582E3A30"/>
    <w:rsid w:val="582E70AD"/>
    <w:rsid w:val="58353010"/>
    <w:rsid w:val="5842572D"/>
    <w:rsid w:val="58501BF8"/>
    <w:rsid w:val="585B059D"/>
    <w:rsid w:val="5866766D"/>
    <w:rsid w:val="587F6039"/>
    <w:rsid w:val="58906498"/>
    <w:rsid w:val="58937D37"/>
    <w:rsid w:val="58C93758"/>
    <w:rsid w:val="58D053E0"/>
    <w:rsid w:val="58DA3BB7"/>
    <w:rsid w:val="58DA7713"/>
    <w:rsid w:val="58E42340"/>
    <w:rsid w:val="59162E41"/>
    <w:rsid w:val="59266DFD"/>
    <w:rsid w:val="592F7A5F"/>
    <w:rsid w:val="593E7CA2"/>
    <w:rsid w:val="59441031"/>
    <w:rsid w:val="59457283"/>
    <w:rsid w:val="595C637A"/>
    <w:rsid w:val="59745DBA"/>
    <w:rsid w:val="59771406"/>
    <w:rsid w:val="598A2EE8"/>
    <w:rsid w:val="599B50F5"/>
    <w:rsid w:val="59AA5338"/>
    <w:rsid w:val="59B9557B"/>
    <w:rsid w:val="59C90057"/>
    <w:rsid w:val="59C9625C"/>
    <w:rsid w:val="59D907BC"/>
    <w:rsid w:val="59DE1485"/>
    <w:rsid w:val="59F36CDF"/>
    <w:rsid w:val="5A0F7891"/>
    <w:rsid w:val="5A3D43FE"/>
    <w:rsid w:val="5A706581"/>
    <w:rsid w:val="5A7D2A4C"/>
    <w:rsid w:val="5A8913F1"/>
    <w:rsid w:val="5A9658BC"/>
    <w:rsid w:val="5AB61AF7"/>
    <w:rsid w:val="5AB75F5E"/>
    <w:rsid w:val="5AC32B55"/>
    <w:rsid w:val="5AFC7E15"/>
    <w:rsid w:val="5B0171D9"/>
    <w:rsid w:val="5B4672E2"/>
    <w:rsid w:val="5B48305A"/>
    <w:rsid w:val="5B4F263B"/>
    <w:rsid w:val="5B7025B1"/>
    <w:rsid w:val="5B8A3673"/>
    <w:rsid w:val="5B955B74"/>
    <w:rsid w:val="5BAD1957"/>
    <w:rsid w:val="5BEA5EBF"/>
    <w:rsid w:val="5C1E3DBB"/>
    <w:rsid w:val="5C361105"/>
    <w:rsid w:val="5C36795D"/>
    <w:rsid w:val="5C5A1297"/>
    <w:rsid w:val="5C6739B4"/>
    <w:rsid w:val="5C844566"/>
    <w:rsid w:val="5C9F7056"/>
    <w:rsid w:val="5CDA4186"/>
    <w:rsid w:val="5CDD77D2"/>
    <w:rsid w:val="5D034B40"/>
    <w:rsid w:val="5D073800"/>
    <w:rsid w:val="5D094A6B"/>
    <w:rsid w:val="5D414205"/>
    <w:rsid w:val="5D447851"/>
    <w:rsid w:val="5D50269A"/>
    <w:rsid w:val="5D543F38"/>
    <w:rsid w:val="5D55380D"/>
    <w:rsid w:val="5D647EF4"/>
    <w:rsid w:val="5D6B74D4"/>
    <w:rsid w:val="5DA55AF0"/>
    <w:rsid w:val="5DB669A1"/>
    <w:rsid w:val="5DC10EA2"/>
    <w:rsid w:val="5DC6470A"/>
    <w:rsid w:val="5DF272AD"/>
    <w:rsid w:val="5E1B4A56"/>
    <w:rsid w:val="5E1C257C"/>
    <w:rsid w:val="5E2A2EEB"/>
    <w:rsid w:val="5E331DA0"/>
    <w:rsid w:val="5E361890"/>
    <w:rsid w:val="5E3653EC"/>
    <w:rsid w:val="5E391380"/>
    <w:rsid w:val="5E7D126D"/>
    <w:rsid w:val="5EDA66BF"/>
    <w:rsid w:val="5EE17A4E"/>
    <w:rsid w:val="5EE25574"/>
    <w:rsid w:val="5F13397F"/>
    <w:rsid w:val="5F2D33BC"/>
    <w:rsid w:val="5F3F6C41"/>
    <w:rsid w:val="5F6E5059"/>
    <w:rsid w:val="5F711212"/>
    <w:rsid w:val="5F766F82"/>
    <w:rsid w:val="5F7F76E0"/>
    <w:rsid w:val="5FA8056B"/>
    <w:rsid w:val="5FB213EA"/>
    <w:rsid w:val="5FB46F10"/>
    <w:rsid w:val="5FF76DFD"/>
    <w:rsid w:val="600339F4"/>
    <w:rsid w:val="6005151A"/>
    <w:rsid w:val="600A6B30"/>
    <w:rsid w:val="600C0AFA"/>
    <w:rsid w:val="607E751E"/>
    <w:rsid w:val="60806DF2"/>
    <w:rsid w:val="609805E0"/>
    <w:rsid w:val="60A26D69"/>
    <w:rsid w:val="60AA20C1"/>
    <w:rsid w:val="60AF592A"/>
    <w:rsid w:val="60B60A66"/>
    <w:rsid w:val="60D1764E"/>
    <w:rsid w:val="60D31618"/>
    <w:rsid w:val="60EE6452"/>
    <w:rsid w:val="6106379C"/>
    <w:rsid w:val="610E08A2"/>
    <w:rsid w:val="61112140"/>
    <w:rsid w:val="61461DEA"/>
    <w:rsid w:val="61477910"/>
    <w:rsid w:val="61693D2A"/>
    <w:rsid w:val="61720E31"/>
    <w:rsid w:val="6175447D"/>
    <w:rsid w:val="618D7A19"/>
    <w:rsid w:val="6192502F"/>
    <w:rsid w:val="61BA4586"/>
    <w:rsid w:val="620D6DAC"/>
    <w:rsid w:val="62137D14"/>
    <w:rsid w:val="6243457B"/>
    <w:rsid w:val="627672AA"/>
    <w:rsid w:val="62976675"/>
    <w:rsid w:val="62D25316"/>
    <w:rsid w:val="63097573"/>
    <w:rsid w:val="630A5099"/>
    <w:rsid w:val="630E6937"/>
    <w:rsid w:val="63827325"/>
    <w:rsid w:val="63974B7F"/>
    <w:rsid w:val="639F3A33"/>
    <w:rsid w:val="63B15515"/>
    <w:rsid w:val="63C27722"/>
    <w:rsid w:val="63CB72FD"/>
    <w:rsid w:val="63FE4BFE"/>
    <w:rsid w:val="641066DF"/>
    <w:rsid w:val="641C6E32"/>
    <w:rsid w:val="64383674"/>
    <w:rsid w:val="644256A7"/>
    <w:rsid w:val="6470717E"/>
    <w:rsid w:val="64754395"/>
    <w:rsid w:val="64AD3F2E"/>
    <w:rsid w:val="64E831B8"/>
    <w:rsid w:val="64FB2EEB"/>
    <w:rsid w:val="650049A6"/>
    <w:rsid w:val="65051FBC"/>
    <w:rsid w:val="65137B25"/>
    <w:rsid w:val="652E1513"/>
    <w:rsid w:val="654B50E5"/>
    <w:rsid w:val="654E5711"/>
    <w:rsid w:val="6562740E"/>
    <w:rsid w:val="65D04378"/>
    <w:rsid w:val="66044022"/>
    <w:rsid w:val="66134265"/>
    <w:rsid w:val="66167308"/>
    <w:rsid w:val="66486604"/>
    <w:rsid w:val="66540B05"/>
    <w:rsid w:val="665F56FC"/>
    <w:rsid w:val="667271DD"/>
    <w:rsid w:val="66884C53"/>
    <w:rsid w:val="66886A01"/>
    <w:rsid w:val="67000C8D"/>
    <w:rsid w:val="6708026F"/>
    <w:rsid w:val="670F7122"/>
    <w:rsid w:val="673E3563"/>
    <w:rsid w:val="67515045"/>
    <w:rsid w:val="678673E4"/>
    <w:rsid w:val="67A21D44"/>
    <w:rsid w:val="67A61834"/>
    <w:rsid w:val="67BD092C"/>
    <w:rsid w:val="67C9107F"/>
    <w:rsid w:val="681744E0"/>
    <w:rsid w:val="682B3AE8"/>
    <w:rsid w:val="683706DE"/>
    <w:rsid w:val="68594AF9"/>
    <w:rsid w:val="685C6397"/>
    <w:rsid w:val="68817BAC"/>
    <w:rsid w:val="68CC52CB"/>
    <w:rsid w:val="68F93BE6"/>
    <w:rsid w:val="690C3919"/>
    <w:rsid w:val="6922138F"/>
    <w:rsid w:val="693370F8"/>
    <w:rsid w:val="6942558D"/>
    <w:rsid w:val="69470DF5"/>
    <w:rsid w:val="695D4F45"/>
    <w:rsid w:val="69601EB7"/>
    <w:rsid w:val="69617F7B"/>
    <w:rsid w:val="69790883"/>
    <w:rsid w:val="697D3F8D"/>
    <w:rsid w:val="698A6F34"/>
    <w:rsid w:val="69B12712"/>
    <w:rsid w:val="69D32689"/>
    <w:rsid w:val="6A002D52"/>
    <w:rsid w:val="6A0C16F7"/>
    <w:rsid w:val="6A152CA1"/>
    <w:rsid w:val="6A1862EE"/>
    <w:rsid w:val="6A6B466F"/>
    <w:rsid w:val="6A7774B8"/>
    <w:rsid w:val="6A7A2B04"/>
    <w:rsid w:val="6A7E0847"/>
    <w:rsid w:val="6AA62DC3"/>
    <w:rsid w:val="6AD2649C"/>
    <w:rsid w:val="6AE61F48"/>
    <w:rsid w:val="6AF6662F"/>
    <w:rsid w:val="6AFC5C0F"/>
    <w:rsid w:val="6B106FC5"/>
    <w:rsid w:val="6B15282D"/>
    <w:rsid w:val="6B1C3B27"/>
    <w:rsid w:val="6B252A70"/>
    <w:rsid w:val="6B2A0087"/>
    <w:rsid w:val="6B361121"/>
    <w:rsid w:val="6B4355EC"/>
    <w:rsid w:val="6B686E01"/>
    <w:rsid w:val="6B8974A3"/>
    <w:rsid w:val="6B8A4FC9"/>
    <w:rsid w:val="6B95409A"/>
    <w:rsid w:val="6B9A16B0"/>
    <w:rsid w:val="6BA73DCD"/>
    <w:rsid w:val="6BA92DB2"/>
    <w:rsid w:val="6BAE6F0A"/>
    <w:rsid w:val="6BC95AF1"/>
    <w:rsid w:val="6BD9385B"/>
    <w:rsid w:val="6BE20961"/>
    <w:rsid w:val="6BF15048"/>
    <w:rsid w:val="6C0B576B"/>
    <w:rsid w:val="6C117498"/>
    <w:rsid w:val="6C296590"/>
    <w:rsid w:val="6C4258A4"/>
    <w:rsid w:val="6C557385"/>
    <w:rsid w:val="6C832144"/>
    <w:rsid w:val="6C8B2DA7"/>
    <w:rsid w:val="6CA81BAB"/>
    <w:rsid w:val="6CAE2CC9"/>
    <w:rsid w:val="6CC14A1B"/>
    <w:rsid w:val="6D486EEA"/>
    <w:rsid w:val="6D877A12"/>
    <w:rsid w:val="6D9D5488"/>
    <w:rsid w:val="6DAC56CB"/>
    <w:rsid w:val="6DC26C9C"/>
    <w:rsid w:val="6DC7127D"/>
    <w:rsid w:val="6DD469CF"/>
    <w:rsid w:val="6DE70AA5"/>
    <w:rsid w:val="6DEC3919"/>
    <w:rsid w:val="6DEE183F"/>
    <w:rsid w:val="6DF8446C"/>
    <w:rsid w:val="6E005A16"/>
    <w:rsid w:val="6E056B89"/>
    <w:rsid w:val="6E494CC8"/>
    <w:rsid w:val="6E781A51"/>
    <w:rsid w:val="6E7F06E9"/>
    <w:rsid w:val="6E843F52"/>
    <w:rsid w:val="6E9323E7"/>
    <w:rsid w:val="6E970129"/>
    <w:rsid w:val="6EB81E4D"/>
    <w:rsid w:val="6EDA6267"/>
    <w:rsid w:val="6EDE7B06"/>
    <w:rsid w:val="6EED7D49"/>
    <w:rsid w:val="6F12155D"/>
    <w:rsid w:val="6F1928EC"/>
    <w:rsid w:val="6F433E0D"/>
    <w:rsid w:val="6F5953DE"/>
    <w:rsid w:val="6F5D2A4B"/>
    <w:rsid w:val="6F765F90"/>
    <w:rsid w:val="6F806E0F"/>
    <w:rsid w:val="6F871F4B"/>
    <w:rsid w:val="6F8B1310"/>
    <w:rsid w:val="6FA36659"/>
    <w:rsid w:val="6FA50623"/>
    <w:rsid w:val="6FB42615"/>
    <w:rsid w:val="6FB46AB9"/>
    <w:rsid w:val="6FB645DF"/>
    <w:rsid w:val="6FB97C2B"/>
    <w:rsid w:val="6FBB7E47"/>
    <w:rsid w:val="6FCA62DC"/>
    <w:rsid w:val="6FCD36D6"/>
    <w:rsid w:val="6FF60E7F"/>
    <w:rsid w:val="6FF61DD3"/>
    <w:rsid w:val="70074E3A"/>
    <w:rsid w:val="700A66D9"/>
    <w:rsid w:val="703F45D4"/>
    <w:rsid w:val="70455963"/>
    <w:rsid w:val="70545BA6"/>
    <w:rsid w:val="70AE3508"/>
    <w:rsid w:val="70AE52B6"/>
    <w:rsid w:val="70B36D70"/>
    <w:rsid w:val="70B4359C"/>
    <w:rsid w:val="70D2369A"/>
    <w:rsid w:val="70DA254F"/>
    <w:rsid w:val="70DE203F"/>
    <w:rsid w:val="70E22282"/>
    <w:rsid w:val="70F27898"/>
    <w:rsid w:val="70F52C7F"/>
    <w:rsid w:val="70FC0717"/>
    <w:rsid w:val="70FD7FEB"/>
    <w:rsid w:val="710475CC"/>
    <w:rsid w:val="7141612A"/>
    <w:rsid w:val="71463740"/>
    <w:rsid w:val="71564A8B"/>
    <w:rsid w:val="71663DE2"/>
    <w:rsid w:val="71736911"/>
    <w:rsid w:val="717B0A82"/>
    <w:rsid w:val="71A62431"/>
    <w:rsid w:val="71BC3A02"/>
    <w:rsid w:val="71C823A7"/>
    <w:rsid w:val="71D46F9E"/>
    <w:rsid w:val="71D7083C"/>
    <w:rsid w:val="71ED62B2"/>
    <w:rsid w:val="71F31B1A"/>
    <w:rsid w:val="71FE226D"/>
    <w:rsid w:val="72077373"/>
    <w:rsid w:val="721B4BCD"/>
    <w:rsid w:val="721E39C3"/>
    <w:rsid w:val="72275320"/>
    <w:rsid w:val="723E08BB"/>
    <w:rsid w:val="72444124"/>
    <w:rsid w:val="72A026AB"/>
    <w:rsid w:val="72C2329A"/>
    <w:rsid w:val="72C2773E"/>
    <w:rsid w:val="72D54D7C"/>
    <w:rsid w:val="72DF3E4C"/>
    <w:rsid w:val="72E74AAF"/>
    <w:rsid w:val="72F84F0E"/>
    <w:rsid w:val="72FA6ED8"/>
    <w:rsid w:val="7306587D"/>
    <w:rsid w:val="73090EC9"/>
    <w:rsid w:val="73113307"/>
    <w:rsid w:val="73513DA0"/>
    <w:rsid w:val="7358775B"/>
    <w:rsid w:val="73593886"/>
    <w:rsid w:val="73612AB3"/>
    <w:rsid w:val="73740EEE"/>
    <w:rsid w:val="73777B6B"/>
    <w:rsid w:val="73A806E2"/>
    <w:rsid w:val="73D239B1"/>
    <w:rsid w:val="73E21E46"/>
    <w:rsid w:val="73E6120B"/>
    <w:rsid w:val="740A6CA7"/>
    <w:rsid w:val="74123DAE"/>
    <w:rsid w:val="7447676F"/>
    <w:rsid w:val="745F3497"/>
    <w:rsid w:val="746A5998"/>
    <w:rsid w:val="747131CA"/>
    <w:rsid w:val="74A470FC"/>
    <w:rsid w:val="74C72DEA"/>
    <w:rsid w:val="74CC0B6F"/>
    <w:rsid w:val="74F073C7"/>
    <w:rsid w:val="74F17E67"/>
    <w:rsid w:val="74FA6D1C"/>
    <w:rsid w:val="75385A96"/>
    <w:rsid w:val="75412B9C"/>
    <w:rsid w:val="75546BA3"/>
    <w:rsid w:val="75970A0E"/>
    <w:rsid w:val="75C31803"/>
    <w:rsid w:val="75C537CD"/>
    <w:rsid w:val="75DE663D"/>
    <w:rsid w:val="75E4177A"/>
    <w:rsid w:val="75F53987"/>
    <w:rsid w:val="761313A1"/>
    <w:rsid w:val="761422CC"/>
    <w:rsid w:val="762373FC"/>
    <w:rsid w:val="762B1157"/>
    <w:rsid w:val="763149BF"/>
    <w:rsid w:val="763B3A90"/>
    <w:rsid w:val="7641097A"/>
    <w:rsid w:val="76515061"/>
    <w:rsid w:val="765468FF"/>
    <w:rsid w:val="768C42EB"/>
    <w:rsid w:val="768F16E6"/>
    <w:rsid w:val="769E7B7B"/>
    <w:rsid w:val="76B850E0"/>
    <w:rsid w:val="76D57A40"/>
    <w:rsid w:val="76DB0DCF"/>
    <w:rsid w:val="76DF08BF"/>
    <w:rsid w:val="76E539FB"/>
    <w:rsid w:val="76F679B7"/>
    <w:rsid w:val="76FF2D0F"/>
    <w:rsid w:val="7731279D"/>
    <w:rsid w:val="773D7394"/>
    <w:rsid w:val="77416E84"/>
    <w:rsid w:val="77585131"/>
    <w:rsid w:val="775D17E4"/>
    <w:rsid w:val="776963DA"/>
    <w:rsid w:val="77701517"/>
    <w:rsid w:val="777032C5"/>
    <w:rsid w:val="77882D05"/>
    <w:rsid w:val="77884AB3"/>
    <w:rsid w:val="77950F7E"/>
    <w:rsid w:val="779D7E32"/>
    <w:rsid w:val="77A15B74"/>
    <w:rsid w:val="77A613DD"/>
    <w:rsid w:val="77AE203F"/>
    <w:rsid w:val="77C41863"/>
    <w:rsid w:val="77CA50CB"/>
    <w:rsid w:val="77ED2B68"/>
    <w:rsid w:val="77FE6B23"/>
    <w:rsid w:val="781346C0"/>
    <w:rsid w:val="781A1483"/>
    <w:rsid w:val="78412EB3"/>
    <w:rsid w:val="7856695F"/>
    <w:rsid w:val="786D5A56"/>
    <w:rsid w:val="78715547"/>
    <w:rsid w:val="7879089F"/>
    <w:rsid w:val="78801C2E"/>
    <w:rsid w:val="78A21BA4"/>
    <w:rsid w:val="78A27DF6"/>
    <w:rsid w:val="78A70F68"/>
    <w:rsid w:val="78A771BA"/>
    <w:rsid w:val="78BB2C66"/>
    <w:rsid w:val="78BB5DC5"/>
    <w:rsid w:val="78C0027C"/>
    <w:rsid w:val="78EA52F9"/>
    <w:rsid w:val="79004B1D"/>
    <w:rsid w:val="79164340"/>
    <w:rsid w:val="791800B8"/>
    <w:rsid w:val="791B1956"/>
    <w:rsid w:val="79276766"/>
    <w:rsid w:val="79674B9C"/>
    <w:rsid w:val="797057FE"/>
    <w:rsid w:val="798C141D"/>
    <w:rsid w:val="79A100AE"/>
    <w:rsid w:val="79A61220"/>
    <w:rsid w:val="79AE4579"/>
    <w:rsid w:val="79AF1EDD"/>
    <w:rsid w:val="79B86A1B"/>
    <w:rsid w:val="79CE0777"/>
    <w:rsid w:val="79E955B1"/>
    <w:rsid w:val="79F71A7C"/>
    <w:rsid w:val="7A13262E"/>
    <w:rsid w:val="7A140880"/>
    <w:rsid w:val="7A2F7467"/>
    <w:rsid w:val="7A321E0F"/>
    <w:rsid w:val="7A590988"/>
    <w:rsid w:val="7A6335B5"/>
    <w:rsid w:val="7A680BCB"/>
    <w:rsid w:val="7A6F1F5A"/>
    <w:rsid w:val="7A8A0B42"/>
    <w:rsid w:val="7ACC2F08"/>
    <w:rsid w:val="7AE446F6"/>
    <w:rsid w:val="7B05641A"/>
    <w:rsid w:val="7B0650EF"/>
    <w:rsid w:val="7B095F0A"/>
    <w:rsid w:val="7B166879"/>
    <w:rsid w:val="7B4C59ED"/>
    <w:rsid w:val="7B503B39"/>
    <w:rsid w:val="7B607AF4"/>
    <w:rsid w:val="7B65510B"/>
    <w:rsid w:val="7BB37C24"/>
    <w:rsid w:val="7BC9569A"/>
    <w:rsid w:val="7BCA12E9"/>
    <w:rsid w:val="7C063B48"/>
    <w:rsid w:val="7C1F350C"/>
    <w:rsid w:val="7C217284"/>
    <w:rsid w:val="7C442F72"/>
    <w:rsid w:val="7C4D1E27"/>
    <w:rsid w:val="7CA23282"/>
    <w:rsid w:val="7CAD0B17"/>
    <w:rsid w:val="7CBB1486"/>
    <w:rsid w:val="7D2C5EE0"/>
    <w:rsid w:val="7D3E3E65"/>
    <w:rsid w:val="7D910439"/>
    <w:rsid w:val="7D9C12B8"/>
    <w:rsid w:val="7DA737B9"/>
    <w:rsid w:val="7DBB5CDB"/>
    <w:rsid w:val="7DC244CD"/>
    <w:rsid w:val="7DCC1471"/>
    <w:rsid w:val="7DCE343B"/>
    <w:rsid w:val="7DE37635"/>
    <w:rsid w:val="7DFC1BF7"/>
    <w:rsid w:val="7E0806FB"/>
    <w:rsid w:val="7E162CD3"/>
    <w:rsid w:val="7E176B90"/>
    <w:rsid w:val="7E1D1CCD"/>
    <w:rsid w:val="7E212001"/>
    <w:rsid w:val="7E357016"/>
    <w:rsid w:val="7E394D59"/>
    <w:rsid w:val="7E3F60E7"/>
    <w:rsid w:val="7E5A082B"/>
    <w:rsid w:val="7E5A4CCF"/>
    <w:rsid w:val="7E723DC7"/>
    <w:rsid w:val="7E7C2E97"/>
    <w:rsid w:val="7E7F4735"/>
    <w:rsid w:val="7E9401E1"/>
    <w:rsid w:val="7EA43F0C"/>
    <w:rsid w:val="7EB3006D"/>
    <w:rsid w:val="7EEF3669"/>
    <w:rsid w:val="7EF26CB5"/>
    <w:rsid w:val="7EF96296"/>
    <w:rsid w:val="7F3379FA"/>
    <w:rsid w:val="7F3B065C"/>
    <w:rsid w:val="7F3E639F"/>
    <w:rsid w:val="7F4734A5"/>
    <w:rsid w:val="7F65392B"/>
    <w:rsid w:val="7F761695"/>
    <w:rsid w:val="7FB0075A"/>
    <w:rsid w:val="7FD85EAB"/>
    <w:rsid w:val="7FE350C7"/>
    <w:rsid w:val="7FE847D2"/>
    <w:rsid w:val="7FEC5DFB"/>
    <w:rsid w:val="7FFB7D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customStyle="1" w:styleId="2">
    <w:name w:val="首行缩进"/>
    <w:basedOn w:val="1"/>
    <w:qFormat/>
    <w:uiPriority w:val="0"/>
    <w:pPr>
      <w:ind w:firstLine="480" w:firstLineChars="200"/>
    </w:pPr>
    <w:rPr>
      <w:lang w:val="zh-CN"/>
    </w:rPr>
  </w:style>
  <w:style w:type="paragraph" w:styleId="4">
    <w:name w:val="toa heading"/>
    <w:basedOn w:val="1"/>
    <w:next w:val="1"/>
    <w:qFormat/>
    <w:uiPriority w:val="0"/>
    <w:pPr>
      <w:spacing w:before="120" w:after="200" w:line="276" w:lineRule="auto"/>
    </w:pPr>
    <w:rPr>
      <w:rFonts w:ascii="Arial" w:hAnsi="Arial" w:eastAsia="宋体" w:cs="Times New Roman"/>
      <w:sz w:val="24"/>
      <w:szCs w:val="24"/>
    </w:rPr>
  </w:style>
  <w:style w:type="paragraph" w:styleId="5">
    <w:name w:val="annotation text"/>
    <w:basedOn w:val="1"/>
    <w:qFormat/>
    <w:uiPriority w:val="0"/>
    <w:pPr>
      <w:jc w:val="left"/>
    </w:pPr>
  </w:style>
  <w:style w:type="paragraph" w:styleId="6">
    <w:name w:val="Body Text"/>
    <w:basedOn w:val="1"/>
    <w:qFormat/>
    <w:uiPriority w:val="1"/>
    <w:rPr>
      <w:rFonts w:ascii="宋体" w:hAnsi="宋体" w:cs="宋体"/>
      <w:sz w:val="32"/>
      <w:szCs w:val="32"/>
    </w:rPr>
  </w:style>
  <w:style w:type="paragraph" w:styleId="7">
    <w:name w:val="Body Text Indent"/>
    <w:basedOn w:val="1"/>
    <w:unhideWhenUsed/>
    <w:qFormat/>
    <w:uiPriority w:val="0"/>
    <w:pPr>
      <w:spacing w:beforeLines="0" w:afterLines="0"/>
      <w:ind w:firstLine="640" w:firstLineChars="200"/>
    </w:pPr>
    <w:rPr>
      <w:rFonts w:hint="default"/>
      <w:sz w:val="32"/>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link w:val="18"/>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0">
    <w:name w:val="Subtitle"/>
    <w:basedOn w:val="1"/>
    <w:next w:val="1"/>
    <w:qFormat/>
    <w:uiPriority w:val="0"/>
    <w:pPr>
      <w:spacing w:line="312" w:lineRule="auto"/>
      <w:jc w:val="center"/>
      <w:outlineLvl w:val="1"/>
    </w:pPr>
    <w:rPr>
      <w:rFonts w:ascii="Cambria" w:hAnsi="Cambria"/>
      <w:b/>
      <w:bCs/>
      <w:kern w:val="28"/>
      <w:sz w:val="32"/>
      <w:szCs w:val="32"/>
    </w:rPr>
  </w:style>
  <w:style w:type="paragraph" w:styleId="11">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2">
    <w:name w:val="Body Text First Indent 2"/>
    <w:basedOn w:val="7"/>
    <w:unhideWhenUsed/>
    <w:qFormat/>
    <w:uiPriority w:val="99"/>
    <w:pPr>
      <w:spacing w:beforeLines="0" w:afterLines="0"/>
      <w:ind w:firstLine="420"/>
    </w:pPr>
    <w:rPr>
      <w:rFonts w:hint="default"/>
      <w:sz w:val="32"/>
    </w:rPr>
  </w:style>
  <w:style w:type="table" w:styleId="14">
    <w:name w:val="Table Grid"/>
    <w:basedOn w:val="13"/>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6">
    <w:name w:val="Emphasis"/>
    <w:basedOn w:val="15"/>
    <w:qFormat/>
    <w:uiPriority w:val="0"/>
    <w:rPr>
      <w:i/>
    </w:rPr>
  </w:style>
  <w:style w:type="character" w:styleId="17">
    <w:name w:val="Hyperlink"/>
    <w:basedOn w:val="15"/>
    <w:qFormat/>
    <w:uiPriority w:val="0"/>
    <w:rPr>
      <w:color w:val="0000FF"/>
      <w:u w:val="single"/>
    </w:rPr>
  </w:style>
  <w:style w:type="character" w:customStyle="1" w:styleId="18">
    <w:name w:val="页眉 Char"/>
    <w:basedOn w:val="15"/>
    <w:link w:val="9"/>
    <w:qFormat/>
    <w:uiPriority w:val="0"/>
    <w:rPr>
      <w:kern w:val="2"/>
      <w:sz w:val="18"/>
      <w:szCs w:val="18"/>
    </w:rPr>
  </w:style>
  <w:style w:type="paragraph" w:styleId="19">
    <w:name w:val="List Paragraph"/>
    <w:basedOn w:val="1"/>
    <w:unhideWhenUsed/>
    <w:qFormat/>
    <w:uiPriority w:val="99"/>
    <w:pPr>
      <w:ind w:firstLine="420" w:firstLineChars="200"/>
    </w:pPr>
  </w:style>
  <w:style w:type="paragraph" w:customStyle="1" w:styleId="20">
    <w:name w:val="WPSOffice手动目录 1"/>
    <w:qFormat/>
    <w:uiPriority w:val="0"/>
    <w:pPr>
      <w:ind w:leftChars="0"/>
    </w:pPr>
    <w:rPr>
      <w:rFonts w:ascii="Calibri" w:hAnsi="Calibri" w:eastAsia="宋体" w:cs="Times New Roman"/>
      <w:sz w:val="20"/>
      <w:szCs w:val="20"/>
    </w:rPr>
  </w:style>
  <w:style w:type="paragraph" w:customStyle="1" w:styleId="21">
    <w:name w:val="WPSOffice手动目录 2"/>
    <w:qFormat/>
    <w:uiPriority w:val="0"/>
    <w:pPr>
      <w:ind w:leftChars="200"/>
    </w:pPr>
    <w:rPr>
      <w:rFonts w:ascii="Calibri" w:hAnsi="Calibri" w:eastAsia="宋体" w:cs="Times New Roman"/>
      <w:sz w:val="20"/>
      <w:szCs w:val="20"/>
    </w:rPr>
  </w:style>
  <w:style w:type="paragraph" w:customStyle="1" w:styleId="22">
    <w:name w:val="WPSOffice手动目录 3"/>
    <w:qFormat/>
    <w:uiPriority w:val="0"/>
    <w:pPr>
      <w:ind w:leftChars="400"/>
    </w:pPr>
    <w:rPr>
      <w:rFonts w:ascii="Calibri" w:hAnsi="Calibri" w:eastAsia="宋体" w:cs="Times New Roman"/>
      <w:sz w:val="20"/>
      <w:szCs w:val="20"/>
    </w:rPr>
  </w:style>
  <w:style w:type="character" w:customStyle="1" w:styleId="23">
    <w:name w:val="font31"/>
    <w:basedOn w:val="15"/>
    <w:qFormat/>
    <w:uiPriority w:val="0"/>
    <w:rPr>
      <w:rFonts w:hint="default" w:ascii="仿宋_GB2312" w:eastAsia="仿宋_GB2312" w:cs="仿宋_GB2312"/>
      <w:color w:val="000000"/>
      <w:sz w:val="21"/>
      <w:szCs w:val="21"/>
      <w:u w:val="none"/>
    </w:rPr>
  </w:style>
  <w:style w:type="character" w:customStyle="1" w:styleId="24">
    <w:name w:val="font01"/>
    <w:basedOn w:val="15"/>
    <w:qFormat/>
    <w:uiPriority w:val="0"/>
    <w:rPr>
      <w:rFonts w:hint="eastAsia" w:ascii="宋体" w:hAnsi="宋体" w:eastAsia="宋体" w:cs="宋体"/>
      <w:color w:val="000000"/>
      <w:sz w:val="21"/>
      <w:szCs w:val="21"/>
      <w:u w:val="none"/>
    </w:rPr>
  </w:style>
  <w:style w:type="character" w:customStyle="1" w:styleId="25">
    <w:name w:val="font11"/>
    <w:basedOn w:val="15"/>
    <w:qFormat/>
    <w:uiPriority w:val="0"/>
    <w:rPr>
      <w:rFonts w:hint="default" w:ascii="仿宋_GB2312" w:eastAsia="仿宋_GB2312" w:cs="仿宋_GB2312"/>
      <w:color w:val="000000"/>
      <w:sz w:val="20"/>
      <w:szCs w:val="20"/>
      <w:u w:val="none"/>
    </w:rPr>
  </w:style>
  <w:style w:type="character" w:customStyle="1" w:styleId="26">
    <w:name w:val="font81"/>
    <w:basedOn w:val="15"/>
    <w:qFormat/>
    <w:uiPriority w:val="0"/>
    <w:rPr>
      <w:rFonts w:hint="eastAsia" w:ascii="宋体" w:hAnsi="宋体" w:eastAsia="宋体" w:cs="宋体"/>
      <w:color w:val="000000"/>
      <w:sz w:val="20"/>
      <w:szCs w:val="20"/>
      <w:u w:val="none"/>
    </w:rPr>
  </w:style>
  <w:style w:type="character" w:customStyle="1" w:styleId="27">
    <w:name w:val="font101"/>
    <w:basedOn w:val="15"/>
    <w:qFormat/>
    <w:uiPriority w:val="0"/>
    <w:rPr>
      <w:rFonts w:hint="default" w:ascii="仿宋_GB2312" w:eastAsia="仿宋_GB2312" w:cs="仿宋_GB2312"/>
      <w:color w:val="000000"/>
      <w:sz w:val="24"/>
      <w:szCs w:val="24"/>
      <w:u w:val="none"/>
    </w:rPr>
  </w:style>
  <w:style w:type="character" w:customStyle="1" w:styleId="28">
    <w:name w:val="font41"/>
    <w:basedOn w:val="15"/>
    <w:qFormat/>
    <w:uiPriority w:val="0"/>
    <w:rPr>
      <w:rFonts w:hint="eastAsia" w:ascii="宋体" w:hAnsi="宋体" w:eastAsia="宋体" w:cs="宋体"/>
      <w:color w:val="000000"/>
      <w:sz w:val="24"/>
      <w:szCs w:val="24"/>
      <w:u w:val="none"/>
    </w:rPr>
  </w:style>
  <w:style w:type="character" w:customStyle="1" w:styleId="29">
    <w:name w:val="font61"/>
    <w:basedOn w:val="15"/>
    <w:qFormat/>
    <w:uiPriority w:val="0"/>
    <w:rPr>
      <w:rFonts w:hint="eastAsia" w:ascii="宋体" w:hAnsi="宋体" w:eastAsia="宋体" w:cs="宋体"/>
      <w:b/>
      <w:bCs/>
      <w:color w:val="000000"/>
      <w:sz w:val="21"/>
      <w:szCs w:val="21"/>
      <w:u w:val="none"/>
    </w:rPr>
  </w:style>
  <w:style w:type="character" w:customStyle="1" w:styleId="30">
    <w:name w:val="font112"/>
    <w:basedOn w:val="15"/>
    <w:qFormat/>
    <w:uiPriority w:val="0"/>
    <w:rPr>
      <w:rFonts w:hint="default" w:ascii="仿宋_GB2312" w:eastAsia="仿宋_GB2312" w:cs="仿宋_GB2312"/>
      <w:b/>
      <w:bCs/>
      <w:color w:val="000000"/>
      <w:sz w:val="21"/>
      <w:szCs w:val="21"/>
      <w:u w:val="none"/>
    </w:rPr>
  </w:style>
  <w:style w:type="character" w:customStyle="1" w:styleId="31">
    <w:name w:val="font71"/>
    <w:basedOn w:val="15"/>
    <w:qFormat/>
    <w:uiPriority w:val="0"/>
    <w:rPr>
      <w:rFonts w:hint="eastAsia" w:ascii="宋体" w:hAnsi="宋体" w:eastAsia="宋体" w:cs="宋体"/>
      <w:color w:val="000000"/>
      <w:sz w:val="20"/>
      <w:szCs w:val="20"/>
      <w:u w:val="none"/>
    </w:rPr>
  </w:style>
  <w:style w:type="character" w:customStyle="1" w:styleId="32">
    <w:name w:val="font91"/>
    <w:basedOn w:val="15"/>
    <w:qFormat/>
    <w:uiPriority w:val="0"/>
    <w:rPr>
      <w:rFonts w:hint="default" w:ascii="仿宋_GB2312" w:eastAsia="仿宋_GB2312" w:cs="仿宋_GB2312"/>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microsoft.com/office/2011/relationships/people" Target="people.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EEFABEF-77D3-4CCE-8E45-A380BA264AB1}">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27</Pages>
  <Words>12918</Words>
  <Characters>13836</Characters>
  <Lines>59</Lines>
  <Paragraphs>16</Paragraphs>
  <TotalTime>1</TotalTime>
  <ScaleCrop>false</ScaleCrop>
  <LinksUpToDate>false</LinksUpToDate>
  <CharactersWithSpaces>14076</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2016-10-19T09:38:00Z</dcterms:created>
  <dc:creator>Administrator</dc:creator>
  <cp:lastModifiedBy>双双</cp:lastModifiedBy>
  <cp:lastPrinted>2023-09-04T09:19:00Z</cp:lastPrinted>
  <dcterms:modified xsi:type="dcterms:W3CDTF">2023-10-17T06:58:09Z</dcterms:modified>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7CD3D07C6C3E4F7FBD7DECDC7866B02B_13</vt:lpwstr>
  </property>
</Properties>
</file>