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小标宋_GBK" w:cs="Times New Roman"/>
          <w:sz w:val="44"/>
          <w:szCs w:val="44"/>
        </w:rPr>
      </w:pPr>
      <w:bookmarkStart w:id="0" w:name="_Hlk143020753"/>
      <w:bookmarkEnd w:id="0"/>
      <w:r>
        <w:rPr>
          <w:rFonts w:hint="default" w:ascii="Times New Roman" w:hAnsi="Times New Roman" w:eastAsia="方正小标宋_GBK" w:cs="Times New Roman"/>
          <w:sz w:val="44"/>
          <w:szCs w:val="44"/>
        </w:rPr>
        <w:t>2020-2022年度乡村振兴和农业专项经费</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绩效评价报告</w:t>
      </w:r>
    </w:p>
    <w:p>
      <w:pPr>
        <w:pStyle w:val="14"/>
        <w:adjustRightInd w:val="0"/>
        <w:snapToGrid w:val="0"/>
        <w:spacing w:after="0" w:line="600" w:lineRule="exact"/>
        <w:ind w:left="0" w:leftChars="0"/>
        <w:rPr>
          <w:rFonts w:hint="default" w:ascii="Times New Roman" w:hAnsi="Times New Roman" w:cs="Times New Roman"/>
        </w:rPr>
      </w:pPr>
      <w:r>
        <w:rPr>
          <w:rFonts w:hint="default" w:ascii="Times New Roman" w:hAnsi="Times New Roman" w:cs="Times New Roman"/>
        </w:rPr>
        <w:t xml:space="preserve"> </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为进一步强化财政支出绩效理念和责任意识，规范财政资金管理，切实提高财政资金使用效益，根据《中共中央国务院关于全面实施预算绩效管理的意见》（中发〔2018〕34号）、《中共湖南省委办公厅 湖南省人民政府办公厅关于全面实施预算绩效管理的实施意见》（湘办发〔2019〕10号）、《湖南省财政厅关于印发&lt;湖南省预算支出绩效评价管理办法&gt;的通知》（湘财绩〔2020〕7号）、《邵阳市</w:t>
      </w:r>
      <w:bookmarkStart w:id="35" w:name="_GoBack"/>
      <w:bookmarkEnd w:id="35"/>
      <w:r>
        <w:rPr>
          <w:rFonts w:hint="default" w:ascii="Times New Roman" w:hAnsi="Times New Roman" w:eastAsia="仿宋_GB2312" w:cs="Times New Roman"/>
          <w:sz w:val="32"/>
          <w:szCs w:val="32"/>
        </w:rPr>
        <w:t>财政局关于开展2020-2022年度乡村振兴和农业专项资金绩效评价工作的通知》（邵财绩〔2023〕5号）等有关文件规定，中标单位湖南财正会计师事务所（普通合伙）（以下简称“我所”）成立绩效评价工作组，对2020-2022年度农村户厕改厕奖补资金（以下简称“改厕奖补资金”）、2021年省级美丽乡村示范村专项奖补资金（以下简称“省级美丽乡村奖补资金”）、2020-2022年度农村人居环境工作奖励经费（以下简称“人居环境奖励经费”）和2022年度油茶产业救灾资金（以下简称“油茶救灾资金”）开展了绩效评价，现将有关情况报告如下：</w:t>
      </w:r>
      <w:bookmarkStart w:id="1" w:name="_Toc4532"/>
      <w:bookmarkEnd w:id="1"/>
    </w:p>
    <w:p>
      <w:pPr>
        <w:pStyle w:val="2"/>
        <w:ind w:firstLine="643"/>
        <w:rPr>
          <w:rFonts w:hint="default" w:ascii="Times New Roman" w:hAnsi="Times New Roman" w:cs="Times New Roman"/>
          <w:b/>
          <w:bCs/>
        </w:rPr>
      </w:pPr>
      <w:bookmarkStart w:id="2" w:name="_Toc146720241"/>
      <w:r>
        <w:rPr>
          <w:rFonts w:hint="default" w:ascii="Times New Roman" w:hAnsi="Times New Roman" w:cs="Times New Roman"/>
          <w:b/>
          <w:bCs/>
        </w:rPr>
        <w:t>一、项目基本情况</w:t>
      </w:r>
      <w:bookmarkEnd w:id="2"/>
    </w:p>
    <w:p>
      <w:pPr>
        <w:pStyle w:val="3"/>
        <w:ind w:firstLine="643"/>
        <w:rPr>
          <w:rStyle w:val="37"/>
          <w:rFonts w:hint="default" w:ascii="Times New Roman" w:hAnsi="Times New Roman" w:cs="Times New Roman"/>
          <w:b/>
          <w:bCs/>
        </w:rPr>
      </w:pPr>
      <w:bookmarkStart w:id="3" w:name="_Toc19189"/>
      <w:bookmarkEnd w:id="3"/>
      <w:bookmarkStart w:id="4" w:name="_Toc146720242"/>
      <w:r>
        <w:rPr>
          <w:rStyle w:val="37"/>
          <w:rFonts w:hint="default" w:ascii="Times New Roman" w:hAnsi="Times New Roman" w:cs="Times New Roman"/>
          <w:b/>
          <w:bCs/>
        </w:rPr>
        <w:t>（一）项目概况</w:t>
      </w:r>
      <w:bookmarkEnd w:id="4"/>
    </w:p>
    <w:p>
      <w:pPr>
        <w:adjustRightInd w:val="0"/>
        <w:snapToGrid w:val="0"/>
        <w:spacing w:line="600" w:lineRule="exact"/>
        <w:ind w:firstLine="643" w:firstLineChars="200"/>
        <w:rPr>
          <w:rFonts w:hint="default" w:ascii="Times New Roman" w:hAnsi="Times New Roman" w:eastAsia="仿宋_GB2312" w:cs="Times New Roman"/>
          <w:b/>
          <w:bCs/>
          <w:sz w:val="32"/>
          <w:szCs w:val="32"/>
        </w:rPr>
      </w:pPr>
      <w:bookmarkStart w:id="5" w:name="_Toc20817"/>
      <w:bookmarkEnd w:id="5"/>
      <w:r>
        <w:rPr>
          <w:rFonts w:hint="default" w:ascii="Times New Roman" w:hAnsi="Times New Roman" w:eastAsia="仿宋_GB2312" w:cs="Times New Roman"/>
          <w:b/>
          <w:bCs/>
          <w:sz w:val="32"/>
          <w:szCs w:val="32"/>
        </w:rPr>
        <w:t>1、项目决策背景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为了贯彻落实</w:t>
      </w:r>
      <w:r>
        <w:rPr>
          <w:rFonts w:hint="eastAsia" w:eastAsia="仿宋_GB2312" w:cs="Times New Roman"/>
          <w:sz w:val="32"/>
          <w:szCs w:val="32"/>
          <w:lang w:eastAsia="zh-CN"/>
        </w:rPr>
        <w:t>党的十九大</w:t>
      </w:r>
      <w:r>
        <w:rPr>
          <w:rFonts w:hint="default" w:ascii="Times New Roman" w:hAnsi="Times New Roman" w:eastAsia="仿宋_GB2312" w:cs="Times New Roman"/>
          <w:sz w:val="32"/>
          <w:szCs w:val="32"/>
        </w:rPr>
        <w:t>报告中提出的乡村振兴战略，解决农业、农村和农民面临的经济、社会和环境问题，2020-2022年，中共湖南省委农村工作领导小组、湖南省农业农村厅、湖南省乡村振兴局陆续印发了《湖南省农村人居环境整治行动实施方案》、《全省农村改厕计划安排的通知》、《全省农村户用卫生厕所改（新）建工作的通知》、《省级美丽乡村示范村和省级特色精品乡村创建名单的通知》等文件，决定以农村生活污水治理、垃圾治理、厕所革命和村容村貌提升为主攻方向，采取“先建后补、以奖代补”的方式，鼓励多方力量共治、助力乡村振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了解决因2022年邵阳市持续旱情导致全市油茶种植基地投产的油茶林严重减少，出油率严重降低，各地区油茶种植大户及企业的运转也受到严重影响的问题，同年，市领导专题开会研究审核同意了邵阳市林业局向市财政提交《关于请求解决油茶救灾资金的报告》，设立“油茶产业救灾资金”，帮助受灾的油茶种植户渡过难关。</w:t>
      </w:r>
    </w:p>
    <w:p>
      <w:pPr>
        <w:adjustRightInd w:val="0"/>
        <w:snapToGrid w:val="0"/>
        <w:spacing w:line="60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2、项目计划目标</w:t>
      </w:r>
    </w:p>
    <w:p>
      <w:pPr>
        <w:pStyle w:val="18"/>
        <w:autoSpaceDE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2020-2021年，市农业农村局计划对97128个户厕（其中2020年33178个，2021年63950个），32座公厕进行奖补，2022年市乡村振兴局计划对30887个户厕进行奖补。奖补标准均为户厕100元/个，公厕10000元/座。</w:t>
      </w:r>
    </w:p>
    <w:p>
      <w:pPr>
        <w:pStyle w:val="18"/>
        <w:autoSpaceDE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2020-2022年，市农业农村局计划奖补67个先进乡镇（街道），109个先进村（社区）和96个先进个人。其中先进乡镇（街道）奖补标准为10万元/个，先进村（社区）为5万元/个，先进个人为800元/个。</w:t>
      </w:r>
    </w:p>
    <w:p>
      <w:pPr>
        <w:pStyle w:val="18"/>
        <w:autoSpaceDE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2021年，邵阳市共计有31个村被评为省级美丽乡村，其中省级美丽乡村示范村23个，省级特色精品乡村8个，均按照10万元/个进行奖补。</w:t>
      </w:r>
    </w:p>
    <w:p>
      <w:pPr>
        <w:pStyle w:val="18"/>
        <w:autoSpaceDE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2022年，市林业局计划对47家受灾油茶种植企业进行补助，其中省级以上龙头企业13家，按照10万元/家进行补助，其他企业或大户34家，按照5万元/家进行补助。</w:t>
      </w:r>
    </w:p>
    <w:p>
      <w:pPr>
        <w:pStyle w:val="18"/>
        <w:autoSpaceDE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整体奖补计划详见下表：</w:t>
      </w:r>
    </w:p>
    <w:p>
      <w:pPr>
        <w:pStyle w:val="18"/>
        <w:autoSpaceDE w:val="0"/>
        <w:spacing w:line="580" w:lineRule="exact"/>
        <w:ind w:firstLine="420" w:firstLineChars="200"/>
        <w:jc w:val="right"/>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单位：万元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1029"/>
        <w:gridCol w:w="1065"/>
        <w:gridCol w:w="599"/>
        <w:gridCol w:w="567"/>
        <w:gridCol w:w="964"/>
        <w:gridCol w:w="1162"/>
        <w:gridCol w:w="969"/>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restart"/>
            <w:tcBorders>
              <w:top w:val="single" w:color="auto" w:sz="12"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项目名称</w:t>
            </w:r>
          </w:p>
        </w:tc>
        <w:tc>
          <w:tcPr>
            <w:tcW w:w="1029" w:type="dxa"/>
            <w:vMerge w:val="restart"/>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县市区</w:t>
            </w:r>
          </w:p>
        </w:tc>
        <w:tc>
          <w:tcPr>
            <w:tcW w:w="4357" w:type="dxa"/>
            <w:gridSpan w:val="5"/>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资金奖补内容</w:t>
            </w:r>
          </w:p>
        </w:tc>
        <w:tc>
          <w:tcPr>
            <w:tcW w:w="969" w:type="dxa"/>
            <w:vMerge w:val="restart"/>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奖补标准</w:t>
            </w:r>
          </w:p>
        </w:tc>
        <w:tc>
          <w:tcPr>
            <w:tcW w:w="1066" w:type="dxa"/>
            <w:vMerge w:val="restart"/>
            <w:tcBorders>
              <w:top w:val="single" w:color="auto" w:sz="12"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奖补金额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2020年</w:t>
            </w: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2021年</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2022年</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vMerge w:val="continue"/>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户厕</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公厕</w:t>
            </w: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户厕</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户厕</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vMerge w:val="continue"/>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1" w:type="dxa"/>
            <w:vMerge w:val="restart"/>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农村改厕</w:t>
            </w: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邵东市</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7000</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11</w:t>
            </w: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10000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3426</w:t>
            </w:r>
          </w:p>
        </w:tc>
        <w:tc>
          <w:tcPr>
            <w:tcW w:w="969" w:type="dxa"/>
            <w:vMerge w:val="restart"/>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rPr>
                <w:rFonts w:hint="default" w:ascii="Times New Roman" w:hAnsi="Times New Roman" w:eastAsia="仿宋_GB2312" w:cs="Times New Roman"/>
              </w:rPr>
            </w:pPr>
            <w:r>
              <w:rPr>
                <w:rFonts w:hint="default" w:ascii="Times New Roman" w:hAnsi="Times New Roman" w:eastAsia="仿宋_GB2312" w:cs="Times New Roman"/>
                <w:b/>
                <w:bCs/>
              </w:rPr>
              <w:t>户厕</w:t>
            </w:r>
            <w:r>
              <w:rPr>
                <w:rFonts w:hint="default" w:ascii="Times New Roman" w:hAnsi="Times New Roman" w:eastAsia="仿宋_GB2312" w:cs="Times New Roman"/>
              </w:rPr>
              <w:t>：0.01万元/户；</w:t>
            </w:r>
          </w:p>
          <w:p>
            <w:pPr>
              <w:pStyle w:val="18"/>
              <w:autoSpaceDE w:val="0"/>
              <w:adjustRightInd w:val="0"/>
              <w:spacing w:line="240" w:lineRule="atLeast"/>
              <w:rPr>
                <w:rFonts w:hint="default" w:ascii="Times New Roman" w:hAnsi="Times New Roman" w:eastAsia="仿宋_GB2312" w:cs="Times New Roman"/>
              </w:rPr>
            </w:pPr>
            <w:r>
              <w:rPr>
                <w:rFonts w:hint="default" w:ascii="Times New Roman" w:hAnsi="Times New Roman" w:eastAsia="仿宋_GB2312" w:cs="Times New Roman"/>
                <w:b/>
                <w:bCs/>
              </w:rPr>
              <w:t>公厕</w:t>
            </w:r>
            <w:r>
              <w:rPr>
                <w:rFonts w:hint="default" w:ascii="Times New Roman" w:hAnsi="Times New Roman" w:eastAsia="仿宋_GB2312" w:cs="Times New Roman"/>
              </w:rPr>
              <w:t>：1万元/座；</w:t>
            </w: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215.26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新邵县</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3500</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10500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3000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隆回县</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4000</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10000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5000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洞口县</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1800</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4280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2428</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85.08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绥宁县</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1859</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3327</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2000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71.86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城步县</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1860</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1850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500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武冈市</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3000</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10000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1500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新宁县</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3000</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6</w:t>
            </w: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3750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3760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邵阳县</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1500</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6500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7000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大祥区</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1118</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5</w:t>
            </w: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1500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1400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45.18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北塔区</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10</w:t>
            </w: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800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双清区</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3683</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1343</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0</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50.26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经开区</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858</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color w:val="000000"/>
                <w:kern w:val="0"/>
              </w:rPr>
              <w:t>900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 w:cs="Times New Roman"/>
              </w:rPr>
              <w:t>73</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工作经费</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小计</w:t>
            </w:r>
          </w:p>
        </w:tc>
        <w:tc>
          <w:tcPr>
            <w:tcW w:w="1065"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33178</w:t>
            </w:r>
          </w:p>
        </w:tc>
        <w:tc>
          <w:tcPr>
            <w:tcW w:w="116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32</w:t>
            </w:r>
          </w:p>
        </w:tc>
        <w:tc>
          <w:tcPr>
            <w:tcW w:w="96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63950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30887</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1343.28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6" w:type="dxa"/>
            <w:gridSpan w:val="8"/>
            <w:tcBorders>
              <w:top w:val="dashSmallGap" w:color="auto" w:sz="4" w:space="0"/>
              <w:left w:val="nil"/>
              <w:bottom w:val="single" w:color="auto" w:sz="12"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b/>
                <w:bCs/>
              </w:rPr>
              <w:t>小计</w:t>
            </w:r>
          </w:p>
        </w:tc>
        <w:tc>
          <w:tcPr>
            <w:tcW w:w="1066" w:type="dxa"/>
            <w:tcBorders>
              <w:top w:val="dashSmallGap" w:color="auto" w:sz="4" w:space="0"/>
              <w:left w:val="dashSmallGap" w:color="auto" w:sz="4" w:space="0"/>
              <w:bottom w:val="single" w:color="auto" w:sz="12"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1343.28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restart"/>
            <w:tcBorders>
              <w:top w:val="single" w:color="auto" w:sz="12"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人居环境整治</w:t>
            </w:r>
          </w:p>
        </w:tc>
        <w:tc>
          <w:tcPr>
            <w:tcW w:w="1029" w:type="dxa"/>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color w:val="000000"/>
                <w:kern w:val="0"/>
              </w:rPr>
            </w:pPr>
            <w:r>
              <w:rPr>
                <w:rFonts w:hint="default" w:ascii="Times New Roman" w:hAnsi="Times New Roman" w:eastAsia="仿宋_GB2312" w:cs="Times New Roman"/>
                <w:b/>
                <w:bCs/>
                <w:color w:val="000000"/>
                <w:kern w:val="0"/>
              </w:rPr>
              <w:t>县市区</w:t>
            </w:r>
          </w:p>
        </w:tc>
        <w:tc>
          <w:tcPr>
            <w:tcW w:w="1664" w:type="dxa"/>
            <w:gridSpan w:val="2"/>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先进乡镇（街道）</w:t>
            </w:r>
          </w:p>
        </w:tc>
        <w:tc>
          <w:tcPr>
            <w:tcW w:w="1531" w:type="dxa"/>
            <w:gridSpan w:val="2"/>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先进村（社区）</w:t>
            </w:r>
          </w:p>
        </w:tc>
        <w:tc>
          <w:tcPr>
            <w:tcW w:w="1162" w:type="dxa"/>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先进个人</w:t>
            </w:r>
          </w:p>
        </w:tc>
        <w:tc>
          <w:tcPr>
            <w:tcW w:w="969" w:type="dxa"/>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奖补标准</w:t>
            </w:r>
          </w:p>
        </w:tc>
        <w:tc>
          <w:tcPr>
            <w:tcW w:w="1066" w:type="dxa"/>
            <w:tcBorders>
              <w:top w:val="single" w:color="auto" w:sz="12"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奖补金额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邵东市</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12</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11</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6</w:t>
            </w:r>
          </w:p>
        </w:tc>
        <w:tc>
          <w:tcPr>
            <w:tcW w:w="969" w:type="dxa"/>
            <w:vMerge w:val="restart"/>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rPr>
                <w:rFonts w:hint="default" w:ascii="Times New Roman" w:hAnsi="Times New Roman" w:eastAsia="仿宋_GB2312" w:cs="Times New Roman"/>
              </w:rPr>
            </w:pPr>
            <w:r>
              <w:rPr>
                <w:rFonts w:hint="default" w:ascii="Times New Roman" w:hAnsi="Times New Roman" w:eastAsia="仿宋_GB2312" w:cs="Times New Roman"/>
                <w:b/>
                <w:bCs/>
              </w:rPr>
              <w:t>先进乡镇（街道）</w:t>
            </w:r>
            <w:r>
              <w:rPr>
                <w:rFonts w:hint="default" w:ascii="Times New Roman" w:hAnsi="Times New Roman" w:eastAsia="仿宋_GB2312" w:cs="Times New Roman"/>
              </w:rPr>
              <w:t>：10万元/个；</w:t>
            </w:r>
          </w:p>
          <w:p>
            <w:pPr>
              <w:pStyle w:val="18"/>
              <w:autoSpaceDE w:val="0"/>
              <w:adjustRightInd w:val="0"/>
              <w:spacing w:line="240" w:lineRule="atLeast"/>
              <w:rPr>
                <w:rFonts w:hint="default" w:ascii="Times New Roman" w:hAnsi="Times New Roman" w:eastAsia="仿宋_GB2312" w:cs="Times New Roman"/>
              </w:rPr>
            </w:pPr>
            <w:r>
              <w:rPr>
                <w:rFonts w:hint="default" w:ascii="Times New Roman" w:hAnsi="Times New Roman" w:eastAsia="仿宋_GB2312" w:cs="Times New Roman"/>
                <w:b/>
                <w:bCs/>
              </w:rPr>
              <w:t>先进村（社区）</w:t>
            </w:r>
            <w:r>
              <w:rPr>
                <w:rFonts w:hint="default" w:ascii="Times New Roman" w:hAnsi="Times New Roman" w:eastAsia="仿宋_GB2312" w:cs="Times New Roman"/>
              </w:rPr>
              <w:t>：5万元/个；</w:t>
            </w:r>
          </w:p>
          <w:p>
            <w:pPr>
              <w:pStyle w:val="18"/>
              <w:autoSpaceDE w:val="0"/>
              <w:adjustRightInd w:val="0"/>
              <w:spacing w:line="240" w:lineRule="atLeast"/>
              <w:rPr>
                <w:rFonts w:hint="default" w:ascii="Times New Roman" w:hAnsi="Times New Roman" w:eastAsia="仿宋_GB2312" w:cs="Times New Roman"/>
              </w:rPr>
            </w:pPr>
            <w:r>
              <w:rPr>
                <w:rFonts w:hint="default" w:ascii="Times New Roman" w:hAnsi="Times New Roman" w:eastAsia="仿宋_GB2312" w:cs="Times New Roman"/>
                <w:b/>
                <w:bCs/>
              </w:rPr>
              <w:t>先进个人</w:t>
            </w:r>
            <w:r>
              <w:rPr>
                <w:rFonts w:hint="default" w:ascii="Times New Roman" w:hAnsi="Times New Roman" w:eastAsia="仿宋_GB2312" w:cs="Times New Roman"/>
              </w:rPr>
              <w:t>：0.08万元/人</w:t>
            </w: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175.48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新邵县</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12</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隆回县</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12</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150.64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洞口县</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绥宁县</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6</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城步县</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6</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11</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6</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115.48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武冈市</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7</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12</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130.64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新宁县</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125.64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邵阳县</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75.64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大祥区</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7</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75.40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北塔区</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双清区</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经开区</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color w:val="000000"/>
                <w:kern w:val="0"/>
              </w:rPr>
            </w:pPr>
            <w:r>
              <w:rPr>
                <w:rFonts w:hint="default" w:ascii="Times New Roman" w:hAnsi="Times New Roman" w:eastAsia="仿宋_GB2312" w:cs="Times New Roman"/>
                <w:color w:val="000000"/>
                <w:kern w:val="0"/>
              </w:rPr>
              <w:t>市直</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等线" w:cs="Times New Roman"/>
                <w:color w:val="000000"/>
              </w:rPr>
            </w:pPr>
            <w:r>
              <w:rPr>
                <w:rFonts w:hint="default" w:ascii="Times New Roman" w:hAnsi="Times New Roman" w:eastAsia="等线" w:cs="Times New Roman"/>
                <w:color w:val="000000"/>
              </w:rPr>
              <w:t>-</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等线" w:cs="Times New Roman"/>
                <w:color w:val="000000"/>
              </w:rPr>
            </w:pPr>
            <w:r>
              <w:rPr>
                <w:rFonts w:hint="default" w:ascii="Times New Roman" w:hAnsi="Times New Roman" w:eastAsia="等线" w:cs="Times New Roman"/>
                <w:color w:val="000000"/>
              </w:rPr>
              <w:t>-</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等线" w:cs="Times New Roman"/>
                <w:color w:val="000000"/>
              </w:rPr>
            </w:pPr>
            <w:r>
              <w:rPr>
                <w:rFonts w:hint="default" w:ascii="Times New Roman" w:hAnsi="Times New Roman" w:eastAsia="等线" w:cs="Times New Roman"/>
                <w:color w:val="000000"/>
              </w:rPr>
              <w:t>17</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color w:val="000000"/>
                <w:kern w:val="0"/>
              </w:rPr>
            </w:pPr>
            <w:r>
              <w:rPr>
                <w:rFonts w:hint="default" w:ascii="Times New Roman" w:hAnsi="Times New Roman" w:eastAsia="仿宋_GB2312" w:cs="Times New Roman"/>
                <w:color w:val="000000"/>
                <w:kern w:val="0"/>
              </w:rPr>
              <w:t>小计</w:t>
            </w:r>
          </w:p>
        </w:tc>
        <w:tc>
          <w:tcPr>
            <w:tcW w:w="1664"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67</w:t>
            </w:r>
          </w:p>
        </w:tc>
        <w:tc>
          <w:tcPr>
            <w:tcW w:w="1531"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109</w:t>
            </w:r>
          </w:p>
        </w:tc>
        <w:tc>
          <w:tcPr>
            <w:tcW w:w="1162"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96</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1222.68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6" w:type="dxa"/>
            <w:gridSpan w:val="8"/>
            <w:tcBorders>
              <w:top w:val="dashSmallGap" w:color="auto" w:sz="4" w:space="0"/>
              <w:left w:val="nil"/>
              <w:bottom w:val="single" w:color="auto" w:sz="12"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小计</w:t>
            </w:r>
          </w:p>
        </w:tc>
        <w:tc>
          <w:tcPr>
            <w:tcW w:w="1066" w:type="dxa"/>
            <w:tcBorders>
              <w:top w:val="dashSmallGap" w:color="auto" w:sz="4" w:space="0"/>
              <w:left w:val="dashSmallGap" w:color="auto" w:sz="4" w:space="0"/>
              <w:bottom w:val="single" w:color="auto" w:sz="12"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1222.68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restart"/>
            <w:tcBorders>
              <w:top w:val="single" w:color="auto" w:sz="12"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省级美丽乡村示范村</w:t>
            </w:r>
          </w:p>
        </w:tc>
        <w:tc>
          <w:tcPr>
            <w:tcW w:w="1029" w:type="dxa"/>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县市区</w:t>
            </w:r>
          </w:p>
        </w:tc>
        <w:tc>
          <w:tcPr>
            <w:tcW w:w="2231" w:type="dxa"/>
            <w:gridSpan w:val="3"/>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2021省级美丽乡村示范村</w:t>
            </w:r>
          </w:p>
        </w:tc>
        <w:tc>
          <w:tcPr>
            <w:tcW w:w="2126" w:type="dxa"/>
            <w:gridSpan w:val="2"/>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2021省级特色精品乡村</w:t>
            </w:r>
          </w:p>
        </w:tc>
        <w:tc>
          <w:tcPr>
            <w:tcW w:w="969" w:type="dxa"/>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奖补标准</w:t>
            </w:r>
          </w:p>
        </w:tc>
        <w:tc>
          <w:tcPr>
            <w:tcW w:w="1066" w:type="dxa"/>
            <w:tcBorders>
              <w:top w:val="single" w:color="auto" w:sz="12"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奖补金额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邵东市</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restart"/>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b/>
                <w:bCs/>
              </w:rPr>
              <w:t>省级美丽乡村示范村</w:t>
            </w:r>
            <w:r>
              <w:rPr>
                <w:rFonts w:hint="default" w:ascii="Times New Roman" w:hAnsi="Times New Roman" w:eastAsia="仿宋_GB2312" w:cs="Times New Roman"/>
              </w:rPr>
              <w:t>：10万元/个；</w:t>
            </w:r>
          </w:p>
          <w:p>
            <w:pPr>
              <w:pStyle w:val="18"/>
              <w:autoSpaceDE w:val="0"/>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b/>
                <w:bCs/>
              </w:rPr>
              <w:t>省级特色精品乡村</w:t>
            </w:r>
            <w:r>
              <w:rPr>
                <w:rFonts w:hint="default" w:ascii="Times New Roman" w:hAnsi="Times New Roman" w:eastAsia="仿宋_GB2312" w:cs="Times New Roman"/>
              </w:rPr>
              <w:t>：10万元/个</w:t>
            </w: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新邵县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隆回县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洞口县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绥宁县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城步县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武冈市</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新宁县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邵阳县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大祥区</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北塔区</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双清区</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小计</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23</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6" w:type="dxa"/>
            <w:gridSpan w:val="8"/>
            <w:tcBorders>
              <w:top w:val="dashSmallGap" w:color="auto" w:sz="4" w:space="0"/>
              <w:left w:val="nil"/>
              <w:bottom w:val="single" w:color="auto" w:sz="12"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小计</w:t>
            </w:r>
          </w:p>
        </w:tc>
        <w:tc>
          <w:tcPr>
            <w:tcW w:w="1066" w:type="dxa"/>
            <w:tcBorders>
              <w:top w:val="dashSmallGap" w:color="auto" w:sz="4" w:space="0"/>
              <w:left w:val="dashSmallGap" w:color="auto" w:sz="4" w:space="0"/>
              <w:bottom w:val="single" w:color="auto" w:sz="12"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restart"/>
            <w:tcBorders>
              <w:top w:val="single" w:color="auto" w:sz="12"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油茶产业救灾资金</w:t>
            </w:r>
          </w:p>
        </w:tc>
        <w:tc>
          <w:tcPr>
            <w:tcW w:w="1029" w:type="dxa"/>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县市区</w:t>
            </w:r>
          </w:p>
        </w:tc>
        <w:tc>
          <w:tcPr>
            <w:tcW w:w="2231" w:type="dxa"/>
            <w:gridSpan w:val="3"/>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2022省级以上龙头企业</w:t>
            </w:r>
          </w:p>
        </w:tc>
        <w:tc>
          <w:tcPr>
            <w:tcW w:w="2126" w:type="dxa"/>
            <w:gridSpan w:val="2"/>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2022其他企业或大户</w:t>
            </w:r>
          </w:p>
        </w:tc>
        <w:tc>
          <w:tcPr>
            <w:tcW w:w="969" w:type="dxa"/>
            <w:tcBorders>
              <w:top w:val="single" w:color="auto" w:sz="12"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奖补标准</w:t>
            </w:r>
          </w:p>
        </w:tc>
        <w:tc>
          <w:tcPr>
            <w:tcW w:w="1066" w:type="dxa"/>
            <w:tcBorders>
              <w:top w:val="single" w:color="auto" w:sz="12"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奖补金额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color w:val="000000"/>
                <w:kern w:val="0"/>
              </w:rPr>
            </w:pPr>
            <w:r>
              <w:rPr>
                <w:rFonts w:hint="default" w:ascii="Times New Roman" w:hAnsi="Times New Roman" w:eastAsia="仿宋_GB2312" w:cs="Times New Roman"/>
                <w:color w:val="000000"/>
                <w:kern w:val="0"/>
              </w:rPr>
              <w:t>邵东市</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969" w:type="dxa"/>
            <w:vMerge w:val="restart"/>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b/>
                <w:bCs/>
              </w:rPr>
              <w:t>省级以上龙头企业</w:t>
            </w:r>
            <w:r>
              <w:rPr>
                <w:rFonts w:hint="default" w:ascii="Times New Roman" w:hAnsi="Times New Roman" w:eastAsia="仿宋_GB2312" w:cs="Times New Roman"/>
              </w:rPr>
              <w:t>：10万元/家</w:t>
            </w:r>
          </w:p>
          <w:p>
            <w:pPr>
              <w:pStyle w:val="18"/>
              <w:autoSpaceDE w:val="0"/>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b/>
                <w:bCs/>
              </w:rPr>
              <w:t>其他企业或大户</w:t>
            </w:r>
            <w:r>
              <w:rPr>
                <w:rFonts w:hint="default" w:ascii="Times New Roman" w:hAnsi="Times New Roman" w:eastAsia="仿宋_GB2312" w:cs="Times New Roman"/>
              </w:rPr>
              <w:t>：5万元/家；</w:t>
            </w: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新邵县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隆回县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洞口县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绥宁县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城步县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武冈市</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新宁县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邵阳县</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6</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7</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大祥区</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北塔区</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color w:val="000000"/>
                <w:kern w:val="0"/>
              </w:rPr>
              <w:t>双清区</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29"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小计</w:t>
            </w:r>
          </w:p>
        </w:tc>
        <w:tc>
          <w:tcPr>
            <w:tcW w:w="2231" w:type="dxa"/>
            <w:gridSpan w:val="3"/>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13</w:t>
            </w:r>
          </w:p>
        </w:tc>
        <w:tc>
          <w:tcPr>
            <w:tcW w:w="2126" w:type="dxa"/>
            <w:gridSpan w:val="2"/>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34</w:t>
            </w:r>
          </w:p>
        </w:tc>
        <w:tc>
          <w:tcPr>
            <w:tcW w:w="969" w:type="dxa"/>
            <w:vMerge w:val="continue"/>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106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6" w:type="dxa"/>
            <w:gridSpan w:val="8"/>
            <w:tcBorders>
              <w:top w:val="dashSmallGap" w:color="auto" w:sz="4" w:space="0"/>
              <w:left w:val="nil"/>
              <w:bottom w:val="single" w:color="auto" w:sz="12"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小计</w:t>
            </w:r>
          </w:p>
        </w:tc>
        <w:tc>
          <w:tcPr>
            <w:tcW w:w="1066" w:type="dxa"/>
            <w:tcBorders>
              <w:top w:val="dashSmallGap" w:color="auto" w:sz="4" w:space="0"/>
              <w:left w:val="dashSmallGap" w:color="auto" w:sz="4" w:space="0"/>
              <w:bottom w:val="single" w:color="auto" w:sz="12"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56" w:type="dxa"/>
            <w:gridSpan w:val="8"/>
            <w:tcBorders>
              <w:top w:val="single" w:color="auto" w:sz="12" w:space="0"/>
              <w:left w:val="nil"/>
              <w:bottom w:val="single" w:color="auto" w:sz="12"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总计</w:t>
            </w:r>
          </w:p>
        </w:tc>
        <w:tc>
          <w:tcPr>
            <w:tcW w:w="1066" w:type="dxa"/>
            <w:tcBorders>
              <w:top w:val="single" w:color="auto" w:sz="12" w:space="0"/>
              <w:left w:val="dashSmallGap" w:color="auto" w:sz="4" w:space="0"/>
              <w:bottom w:val="single" w:color="auto" w:sz="12"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3175.96</w:t>
            </w:r>
          </w:p>
        </w:tc>
      </w:tr>
    </w:tbl>
    <w:p>
      <w:pPr>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3、项目组织实施单位</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项目实施单位分别为</w:t>
      </w:r>
      <w:r>
        <w:rPr>
          <w:rFonts w:hint="default" w:ascii="Times New Roman" w:hAnsi="Times New Roman" w:eastAsia="仿宋_GB2312" w:cs="Times New Roman"/>
          <w:b/>
          <w:bCs/>
          <w:sz w:val="32"/>
          <w:szCs w:val="32"/>
        </w:rPr>
        <w:t>邵阳市农业农村局</w:t>
      </w:r>
      <w:r>
        <w:rPr>
          <w:rFonts w:hint="default" w:ascii="Times New Roman" w:hAnsi="Times New Roman" w:eastAsia="仿宋_GB2312" w:cs="Times New Roman"/>
          <w:sz w:val="32"/>
          <w:szCs w:val="32"/>
        </w:rPr>
        <w:t>：主要负责2020-2021年农村改厕项目的组织实施，抽查验收，奖补资金分配，以及人居环境整治项目和省级美丽乡村示范村项目县市区申报材料审核上报和奖补名单确定等工作。</w:t>
      </w:r>
      <w:r>
        <w:rPr>
          <w:rFonts w:hint="default" w:ascii="Times New Roman" w:hAnsi="Times New Roman" w:eastAsia="仿宋_GB2312" w:cs="Times New Roman"/>
          <w:b/>
          <w:bCs/>
          <w:sz w:val="32"/>
          <w:szCs w:val="32"/>
        </w:rPr>
        <w:t>邵阳市乡村振兴局</w:t>
      </w:r>
      <w:r>
        <w:rPr>
          <w:rFonts w:hint="default" w:ascii="Times New Roman" w:hAnsi="Times New Roman" w:eastAsia="仿宋_GB2312" w:cs="Times New Roman"/>
          <w:sz w:val="32"/>
          <w:szCs w:val="32"/>
        </w:rPr>
        <w:t>：主要负责2022年农村改厕项目的组织实施，抽查验收和奖补资金分配等工作内容。</w:t>
      </w:r>
      <w:r>
        <w:rPr>
          <w:rFonts w:hint="default" w:ascii="Times New Roman" w:hAnsi="Times New Roman" w:eastAsia="仿宋_GB2312" w:cs="Times New Roman"/>
          <w:b/>
          <w:bCs/>
          <w:sz w:val="32"/>
          <w:szCs w:val="32"/>
        </w:rPr>
        <w:t>邵阳市林业局</w:t>
      </w:r>
      <w:r>
        <w:rPr>
          <w:rFonts w:hint="default" w:ascii="Times New Roman" w:hAnsi="Times New Roman" w:eastAsia="仿宋_GB2312" w:cs="Times New Roman"/>
          <w:sz w:val="32"/>
          <w:szCs w:val="32"/>
        </w:rPr>
        <w:t>：主要负责油茶产业救灾资金的油茶受灾情况收集汇总以及资金分配等工作。</w:t>
      </w:r>
    </w:p>
    <w:p>
      <w:pPr>
        <w:pStyle w:val="3"/>
        <w:ind w:firstLine="643"/>
        <w:rPr>
          <w:rFonts w:hint="default" w:ascii="Times New Roman" w:hAnsi="Times New Roman" w:cs="Times New Roman"/>
        </w:rPr>
      </w:pPr>
      <w:bookmarkStart w:id="6" w:name="_Toc146720243"/>
      <w:r>
        <w:rPr>
          <w:rFonts w:hint="default" w:ascii="Times New Roman" w:hAnsi="Times New Roman" w:cs="Times New Roman"/>
        </w:rPr>
        <w:t>（二）资金安排及使用情况</w:t>
      </w:r>
      <w:bookmarkEnd w:id="6"/>
    </w:p>
    <w:p>
      <w:pPr>
        <w:pStyle w:val="18"/>
        <w:autoSpaceDE w:val="0"/>
        <w:spacing w:line="580" w:lineRule="exact"/>
        <w:ind w:firstLine="643" w:firstLineChars="200"/>
        <w:jc w:val="both"/>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1、资金来源及拨付流程</w:t>
      </w:r>
    </w:p>
    <w:p>
      <w:pPr>
        <w:pStyle w:val="18"/>
        <w:autoSpaceDE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2020-2022年度乡村振兴和农业专项经费资金来源均为市级财政拨款。资金由市财政局拨付至县市区财政局，县市区财政局根据不同项目的类型和要求，以及各县市区工作实际将资金拨付至不同单位，如2020-2021年隆回县农村改厕项目，县财政局将资金拨付至县农业农村局，然后由县农业农村局拨付至县人居环境整治项目指挥部具体使用。而2020-2022年北塔区人居环境整治项目，县财政局直接将奖补资金拨付至先进乡镇（街道）财政所。</w:t>
      </w:r>
    </w:p>
    <w:p>
      <w:pPr>
        <w:pStyle w:val="18"/>
        <w:autoSpaceDE w:val="0"/>
        <w:spacing w:line="580" w:lineRule="exact"/>
        <w:ind w:firstLine="643" w:firstLineChars="200"/>
        <w:jc w:val="both"/>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2、资金到位情况</w:t>
      </w:r>
    </w:p>
    <w:p>
      <w:pPr>
        <w:pStyle w:val="18"/>
        <w:autoSpaceDE w:val="0"/>
        <w:adjustRightInd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至绩效评价日，各县市区财政局收到邵阳市财政局下拨的2020-2022年度乡村振兴和农业专项资金3175.96万元，其中农村改厕项目1343.28万元，人居环境整治项目1222.68万元，省级美丽乡村示范村项目310万元，油茶产业救灾资金300万元，资金到位率为100%。但因存在部分区县财政局未将全部项目资金拨付至项目实施单位，实际到位资金为2928.40万元，有247.56万元资金未拨付到位，资金实际到位率为92.21%。具体情况见下表：</w:t>
      </w:r>
    </w:p>
    <w:p>
      <w:pPr>
        <w:pStyle w:val="18"/>
        <w:autoSpaceDE w:val="0"/>
        <w:adjustRightInd w:val="0"/>
        <w:spacing w:line="580" w:lineRule="exact"/>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2020-2022年乡村振兴和农业专项资金到位情况表</w:t>
      </w:r>
    </w:p>
    <w:p>
      <w:pPr>
        <w:pStyle w:val="18"/>
        <w:autoSpaceDE w:val="0"/>
        <w:adjustRightInd w:val="0"/>
        <w:spacing w:line="580" w:lineRule="exact"/>
        <w:ind w:firstLine="360" w:firstLineChars="200"/>
        <w:jc w:val="right"/>
        <w:rPr>
          <w:rFonts w:hint="default" w:ascii="Times New Roman" w:hAnsi="Times New Roman" w:eastAsia="仿宋_GB2312" w:cs="Times New Roman"/>
        </w:rPr>
      </w:pPr>
      <w:r>
        <w:rPr>
          <w:rFonts w:hint="default" w:ascii="Times New Roman" w:hAnsi="Times New Roman" w:eastAsia="仿宋_GB2312" w:cs="Times New Roman"/>
        </w:rPr>
        <w:t>单位：万元</w:t>
      </w:r>
    </w:p>
    <w:tbl>
      <w:tblPr>
        <w:tblStyle w:val="22"/>
        <w:tblW w:w="8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4"/>
        <w:gridCol w:w="2268"/>
        <w:gridCol w:w="1134"/>
        <w:gridCol w:w="127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754" w:type="dxa"/>
            <w:tcBorders>
              <w:top w:val="single" w:color="auto" w:sz="12" w:space="0"/>
              <w:left w:val="nil"/>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项目名称</w:t>
            </w:r>
          </w:p>
        </w:tc>
        <w:tc>
          <w:tcPr>
            <w:tcW w:w="2268"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指标文号</w:t>
            </w:r>
          </w:p>
        </w:tc>
        <w:tc>
          <w:tcPr>
            <w:tcW w:w="1134"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下达金额</w:t>
            </w:r>
          </w:p>
        </w:tc>
        <w:tc>
          <w:tcPr>
            <w:tcW w:w="1276"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到位金额</w:t>
            </w:r>
          </w:p>
        </w:tc>
        <w:tc>
          <w:tcPr>
            <w:tcW w:w="2126" w:type="dxa"/>
            <w:tcBorders>
              <w:top w:val="single" w:color="auto" w:sz="12" w:space="0"/>
              <w:left w:val="dashSmallGap" w:color="auto" w:sz="4" w:space="0"/>
              <w:bottom w:val="dashSmallGap" w:color="auto" w:sz="4" w:space="0"/>
              <w:right w:val="nil"/>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资金到位率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4" w:type="dxa"/>
            <w:vMerge w:val="restart"/>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农村改厕</w:t>
            </w:r>
          </w:p>
        </w:tc>
        <w:tc>
          <w:tcPr>
            <w:tcW w:w="226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邵财农指〔2020〕23号</w:t>
            </w:r>
          </w:p>
        </w:tc>
        <w:tc>
          <w:tcPr>
            <w:tcW w:w="113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363.78</w:t>
            </w:r>
          </w:p>
        </w:tc>
        <w:tc>
          <w:tcPr>
            <w:tcW w:w="127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363.78</w:t>
            </w:r>
          </w:p>
        </w:tc>
        <w:tc>
          <w:tcPr>
            <w:tcW w:w="212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4"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26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邵财农指〔2021〕20号</w:t>
            </w:r>
          </w:p>
        </w:tc>
        <w:tc>
          <w:tcPr>
            <w:tcW w:w="113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639.50</w:t>
            </w:r>
          </w:p>
        </w:tc>
        <w:tc>
          <w:tcPr>
            <w:tcW w:w="127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639.50</w:t>
            </w:r>
          </w:p>
        </w:tc>
        <w:tc>
          <w:tcPr>
            <w:tcW w:w="212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4"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26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邵财农指〔2022〕13号</w:t>
            </w:r>
          </w:p>
        </w:tc>
        <w:tc>
          <w:tcPr>
            <w:tcW w:w="113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340</w:t>
            </w:r>
          </w:p>
        </w:tc>
        <w:tc>
          <w:tcPr>
            <w:tcW w:w="127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247.68</w:t>
            </w:r>
          </w:p>
        </w:tc>
        <w:tc>
          <w:tcPr>
            <w:tcW w:w="212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72.85%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4" w:type="dxa"/>
            <w:vMerge w:val="restart"/>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人居环境整治</w:t>
            </w:r>
          </w:p>
        </w:tc>
        <w:tc>
          <w:tcPr>
            <w:tcW w:w="226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邵财农指〔2020〕20号</w:t>
            </w:r>
          </w:p>
        </w:tc>
        <w:tc>
          <w:tcPr>
            <w:tcW w:w="113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338.68</w:t>
            </w:r>
          </w:p>
        </w:tc>
        <w:tc>
          <w:tcPr>
            <w:tcW w:w="127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303.20</w:t>
            </w:r>
          </w:p>
        </w:tc>
        <w:tc>
          <w:tcPr>
            <w:tcW w:w="212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89.52%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4"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26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邵财农指〔2021〕27号</w:t>
            </w:r>
          </w:p>
        </w:tc>
        <w:tc>
          <w:tcPr>
            <w:tcW w:w="113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354</w:t>
            </w:r>
          </w:p>
        </w:tc>
        <w:tc>
          <w:tcPr>
            <w:tcW w:w="127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354</w:t>
            </w:r>
          </w:p>
        </w:tc>
        <w:tc>
          <w:tcPr>
            <w:tcW w:w="212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4"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p>
        </w:tc>
        <w:tc>
          <w:tcPr>
            <w:tcW w:w="226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邵财农指〔2022〕52号</w:t>
            </w:r>
          </w:p>
        </w:tc>
        <w:tc>
          <w:tcPr>
            <w:tcW w:w="113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530</w:t>
            </w:r>
          </w:p>
        </w:tc>
        <w:tc>
          <w:tcPr>
            <w:tcW w:w="127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465.24</w:t>
            </w:r>
          </w:p>
        </w:tc>
        <w:tc>
          <w:tcPr>
            <w:tcW w:w="212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4" w:type="dxa"/>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省级美丽乡村</w:t>
            </w:r>
          </w:p>
        </w:tc>
        <w:tc>
          <w:tcPr>
            <w:tcW w:w="226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邵财农指〔2022〕56号</w:t>
            </w:r>
          </w:p>
        </w:tc>
        <w:tc>
          <w:tcPr>
            <w:tcW w:w="113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310</w:t>
            </w:r>
          </w:p>
        </w:tc>
        <w:tc>
          <w:tcPr>
            <w:tcW w:w="127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260</w:t>
            </w:r>
          </w:p>
        </w:tc>
        <w:tc>
          <w:tcPr>
            <w:tcW w:w="212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83.87%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4" w:type="dxa"/>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油茶产业救灾资金</w:t>
            </w:r>
          </w:p>
        </w:tc>
        <w:tc>
          <w:tcPr>
            <w:tcW w:w="226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邵财农指〔2022〕55号</w:t>
            </w:r>
          </w:p>
        </w:tc>
        <w:tc>
          <w:tcPr>
            <w:tcW w:w="1134"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300</w:t>
            </w:r>
          </w:p>
        </w:tc>
        <w:tc>
          <w:tcPr>
            <w:tcW w:w="127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295</w:t>
            </w:r>
          </w:p>
        </w:tc>
        <w:tc>
          <w:tcPr>
            <w:tcW w:w="2126"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98.33%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22" w:type="dxa"/>
            <w:gridSpan w:val="2"/>
            <w:tcBorders>
              <w:top w:val="dashSmallGap" w:color="auto" w:sz="4" w:space="0"/>
              <w:left w:val="nil"/>
              <w:bottom w:val="single" w:color="auto" w:sz="12"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合计</w:t>
            </w:r>
          </w:p>
        </w:tc>
        <w:tc>
          <w:tcPr>
            <w:tcW w:w="1134" w:type="dxa"/>
            <w:tcBorders>
              <w:top w:val="dashSmallGap" w:color="auto" w:sz="4" w:space="0"/>
              <w:left w:val="dashSmallGap" w:color="auto" w:sz="4" w:space="0"/>
              <w:bottom w:val="single" w:color="auto" w:sz="12"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3175.96</w:t>
            </w:r>
          </w:p>
        </w:tc>
        <w:tc>
          <w:tcPr>
            <w:tcW w:w="1276" w:type="dxa"/>
            <w:tcBorders>
              <w:top w:val="dashSmallGap" w:color="auto" w:sz="4" w:space="0"/>
              <w:left w:val="dashSmallGap" w:color="auto" w:sz="4" w:space="0"/>
              <w:bottom w:val="single" w:color="auto" w:sz="12"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2928.40</w:t>
            </w:r>
          </w:p>
        </w:tc>
        <w:tc>
          <w:tcPr>
            <w:tcW w:w="2126" w:type="dxa"/>
            <w:tcBorders>
              <w:top w:val="dashSmallGap" w:color="auto" w:sz="4" w:space="0"/>
              <w:left w:val="dashSmallGap" w:color="auto" w:sz="4" w:space="0"/>
              <w:bottom w:val="single" w:color="auto" w:sz="12" w:space="0"/>
              <w:right w:val="nil"/>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92.21</w:t>
            </w:r>
          </w:p>
        </w:tc>
      </w:tr>
    </w:tbl>
    <w:p>
      <w:pPr>
        <w:pStyle w:val="18"/>
        <w:autoSpaceDE w:val="0"/>
        <w:adjustRightInd w:val="0"/>
        <w:spacing w:line="580" w:lineRule="exact"/>
        <w:jc w:val="center"/>
        <w:rPr>
          <w:rFonts w:hint="default" w:ascii="Times New Roman" w:hAnsi="Times New Roman" w:eastAsia="仿宋_GB2312" w:cs="Times New Roman"/>
          <w:sz w:val="28"/>
          <w:szCs w:val="28"/>
        </w:rPr>
      </w:pPr>
    </w:p>
    <w:p>
      <w:pPr>
        <w:pStyle w:val="18"/>
        <w:autoSpaceDE w:val="0"/>
        <w:adjustRightInd w:val="0"/>
        <w:spacing w:line="580" w:lineRule="exact"/>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县市区财政局未按计划拨付资金汇总表</w:t>
      </w:r>
    </w:p>
    <w:p>
      <w:pPr>
        <w:pStyle w:val="18"/>
        <w:autoSpaceDE w:val="0"/>
        <w:adjustRightInd w:val="0"/>
        <w:spacing w:line="580" w:lineRule="exact"/>
        <w:ind w:firstLine="360" w:firstLineChars="200"/>
        <w:jc w:val="right"/>
        <w:rPr>
          <w:rFonts w:hint="default" w:ascii="Times New Roman" w:hAnsi="Times New Roman" w:eastAsia="仿宋_GB2312" w:cs="Times New Roman"/>
        </w:rPr>
      </w:pPr>
      <w:r>
        <w:rPr>
          <w:rFonts w:hint="default" w:ascii="Times New Roman" w:hAnsi="Times New Roman" w:eastAsia="仿宋_GB2312" w:cs="Times New Roman"/>
        </w:rPr>
        <w:t>单位：万元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278"/>
        <w:gridCol w:w="2346"/>
        <w:gridCol w:w="1018"/>
        <w:gridCol w:w="1030"/>
        <w:gridCol w:w="851"/>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815" w:type="dxa"/>
            <w:tcBorders>
              <w:top w:val="single" w:color="auto" w:sz="12" w:space="0"/>
              <w:left w:val="nil"/>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县市区</w:t>
            </w:r>
          </w:p>
        </w:tc>
        <w:tc>
          <w:tcPr>
            <w:tcW w:w="1278"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项目名称</w:t>
            </w:r>
          </w:p>
        </w:tc>
        <w:tc>
          <w:tcPr>
            <w:tcW w:w="2346"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指标文号</w:t>
            </w:r>
          </w:p>
        </w:tc>
        <w:tc>
          <w:tcPr>
            <w:tcW w:w="1018"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下达金额</w:t>
            </w:r>
          </w:p>
        </w:tc>
        <w:tc>
          <w:tcPr>
            <w:tcW w:w="1030"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到位金额</w:t>
            </w:r>
          </w:p>
        </w:tc>
        <w:tc>
          <w:tcPr>
            <w:tcW w:w="851"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差额</w:t>
            </w:r>
          </w:p>
        </w:tc>
        <w:tc>
          <w:tcPr>
            <w:tcW w:w="1184" w:type="dxa"/>
            <w:tcBorders>
              <w:top w:val="single" w:color="auto" w:sz="12" w:space="0"/>
              <w:left w:val="dashSmallGap" w:color="auto" w:sz="4" w:space="0"/>
              <w:bottom w:val="dashSmallGap" w:color="auto" w:sz="4" w:space="0"/>
              <w:right w:val="nil"/>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资金到位率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restart"/>
            <w:tcBorders>
              <w:top w:val="dashSmallGap" w:color="auto" w:sz="4" w:space="0"/>
              <w:left w:val="nil"/>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邵东市</w:t>
            </w:r>
          </w:p>
        </w:tc>
        <w:tc>
          <w:tcPr>
            <w:tcW w:w="1278"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农村改厕</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邵财农指〔2022〕13号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34.26</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19.94</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14.32</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continue"/>
            <w:tcBorders>
              <w:left w:val="nil"/>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p>
        </w:tc>
        <w:tc>
          <w:tcPr>
            <w:tcW w:w="1278"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人居环境</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邵财农指〔2022〕52号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55.00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10.24</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44.76</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continue"/>
            <w:tcBorders>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p>
        </w:tc>
        <w:tc>
          <w:tcPr>
            <w:tcW w:w="1278"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美丽乡村</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邵财农指〔2022〕56号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40.00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40.00</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restart"/>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邵阳县</w:t>
            </w:r>
          </w:p>
        </w:tc>
        <w:tc>
          <w:tcPr>
            <w:tcW w:w="1278"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农村改厕</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邵财农指〔2022〕13号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70.00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70.00</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continue"/>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p>
        </w:tc>
        <w:tc>
          <w:tcPr>
            <w:tcW w:w="1278"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人居环境</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邵财农指〔2020〕20号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20.32</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20.32</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restart"/>
            <w:tcBorders>
              <w:top w:val="dashSmallGap" w:color="auto" w:sz="4" w:space="0"/>
              <w:left w:val="nil"/>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双清区</w:t>
            </w:r>
          </w:p>
        </w:tc>
        <w:tc>
          <w:tcPr>
            <w:tcW w:w="1278"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农村改厕</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邵财农指〔2022〕13号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8.00</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continue"/>
            <w:tcBorders>
              <w:left w:val="nil"/>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p>
        </w:tc>
        <w:tc>
          <w:tcPr>
            <w:tcW w:w="1278" w:type="dxa"/>
            <w:vMerge w:val="restart"/>
            <w:tcBorders>
              <w:top w:val="dashSmallGap" w:color="auto" w:sz="4" w:space="0"/>
              <w:left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人居环境</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邵财农指〔2020〕20号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15.16</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15.16</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continue"/>
            <w:tcBorders>
              <w:left w:val="nil"/>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p>
        </w:tc>
        <w:tc>
          <w:tcPr>
            <w:tcW w:w="1278" w:type="dxa"/>
            <w:vMerge w:val="continue"/>
            <w:tcBorders>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邵财农指〔2022〕52号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20.00</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vMerge w:val="continue"/>
            <w:tcBorders>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p>
        </w:tc>
        <w:tc>
          <w:tcPr>
            <w:tcW w:w="1278"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美丽乡村</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邵财农指〔2022〕56号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10.00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10.00</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5" w:type="dxa"/>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大祥区</w:t>
            </w:r>
          </w:p>
        </w:tc>
        <w:tc>
          <w:tcPr>
            <w:tcW w:w="1278"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油茶救灾</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邵财农指〔2022〕55号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10.00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5.00</w:t>
            </w:r>
          </w:p>
        </w:tc>
        <w:tc>
          <w:tcPr>
            <w:tcW w:w="85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5.00</w:t>
            </w:r>
          </w:p>
        </w:tc>
        <w:tc>
          <w:tcPr>
            <w:tcW w:w="1184"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9" w:type="dxa"/>
            <w:gridSpan w:val="3"/>
            <w:tcBorders>
              <w:top w:val="dashSmallGap" w:color="auto" w:sz="4" w:space="0"/>
              <w:left w:val="nil"/>
              <w:bottom w:val="single" w:color="auto" w:sz="12"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合计</w:t>
            </w:r>
          </w:p>
        </w:tc>
        <w:tc>
          <w:tcPr>
            <w:tcW w:w="1018" w:type="dxa"/>
            <w:tcBorders>
              <w:top w:val="dashSmallGap" w:color="auto" w:sz="4" w:space="0"/>
              <w:left w:val="dashSmallGap" w:color="auto" w:sz="4" w:space="0"/>
              <w:bottom w:val="single" w:color="auto" w:sz="12"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282.74</w:t>
            </w:r>
          </w:p>
        </w:tc>
        <w:tc>
          <w:tcPr>
            <w:tcW w:w="1030" w:type="dxa"/>
            <w:tcBorders>
              <w:top w:val="dashSmallGap" w:color="auto" w:sz="4" w:space="0"/>
              <w:left w:val="dashSmallGap" w:color="auto" w:sz="4" w:space="0"/>
              <w:bottom w:val="single" w:color="auto" w:sz="12"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35.18</w:t>
            </w:r>
          </w:p>
        </w:tc>
        <w:tc>
          <w:tcPr>
            <w:tcW w:w="851" w:type="dxa"/>
            <w:tcBorders>
              <w:top w:val="dashSmallGap" w:color="auto" w:sz="4" w:space="0"/>
              <w:left w:val="dashSmallGap" w:color="auto" w:sz="4" w:space="0"/>
              <w:bottom w:val="single" w:color="auto" w:sz="12"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247.56</w:t>
            </w:r>
          </w:p>
        </w:tc>
        <w:tc>
          <w:tcPr>
            <w:tcW w:w="1184" w:type="dxa"/>
            <w:tcBorders>
              <w:top w:val="dashSmallGap" w:color="auto" w:sz="4" w:space="0"/>
              <w:left w:val="dashSmallGap" w:color="auto" w:sz="4" w:space="0"/>
              <w:bottom w:val="single" w:color="auto" w:sz="12" w:space="0"/>
              <w:right w:val="nil"/>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12.44%</w:t>
            </w:r>
          </w:p>
        </w:tc>
      </w:tr>
    </w:tbl>
    <w:p>
      <w:pPr>
        <w:pStyle w:val="18"/>
        <w:autoSpaceDE w:val="0"/>
        <w:spacing w:line="580" w:lineRule="exact"/>
        <w:ind w:firstLine="643" w:firstLineChars="200"/>
        <w:jc w:val="both"/>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3、资金使用情况</w:t>
      </w:r>
    </w:p>
    <w:p>
      <w:pPr>
        <w:pStyle w:val="18"/>
        <w:autoSpaceDE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截至绩效评价日，各项目实施单位收到各县市区财政局下拨的2020-2022年度乡村振兴和农业专项资金2928.40万元，实际支出金额为2783.24万元，有145.16万元资金未使用完，资金使用率为95.04%。资金未使用情况如下表：</w:t>
      </w:r>
    </w:p>
    <w:p>
      <w:pPr>
        <w:pStyle w:val="18"/>
        <w:autoSpaceDE w:val="0"/>
        <w:spacing w:line="580" w:lineRule="exact"/>
        <w:jc w:val="center"/>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t>项目资金未使用情况明细表</w:t>
      </w:r>
    </w:p>
    <w:p>
      <w:pPr>
        <w:pStyle w:val="18"/>
        <w:autoSpaceDE w:val="0"/>
        <w:spacing w:line="580" w:lineRule="exact"/>
        <w:ind w:firstLine="360" w:firstLineChars="200"/>
        <w:jc w:val="right"/>
        <w:rPr>
          <w:rFonts w:hint="default" w:ascii="Times New Roman" w:hAnsi="Times New Roman" w:eastAsia="仿宋_GB2312" w:cs="Times New Roman"/>
        </w:rPr>
      </w:pPr>
      <w:r>
        <w:rPr>
          <w:rFonts w:hint="default" w:ascii="Times New Roman" w:hAnsi="Times New Roman" w:eastAsia="仿宋_GB2312" w:cs="Times New Roman"/>
        </w:rPr>
        <w:t>单位：万元</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133"/>
        <w:gridCol w:w="2346"/>
        <w:gridCol w:w="1018"/>
        <w:gridCol w:w="1030"/>
        <w:gridCol w:w="711"/>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59" w:type="dxa"/>
            <w:tcBorders>
              <w:top w:val="single" w:color="auto" w:sz="12" w:space="0"/>
              <w:left w:val="nil"/>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县市区</w:t>
            </w:r>
          </w:p>
        </w:tc>
        <w:tc>
          <w:tcPr>
            <w:tcW w:w="1133"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项目名称</w:t>
            </w:r>
          </w:p>
        </w:tc>
        <w:tc>
          <w:tcPr>
            <w:tcW w:w="2346"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指标文号</w:t>
            </w:r>
          </w:p>
        </w:tc>
        <w:tc>
          <w:tcPr>
            <w:tcW w:w="1018"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到位金额</w:t>
            </w:r>
          </w:p>
        </w:tc>
        <w:tc>
          <w:tcPr>
            <w:tcW w:w="1030"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使用金额</w:t>
            </w:r>
          </w:p>
        </w:tc>
        <w:tc>
          <w:tcPr>
            <w:tcW w:w="711" w:type="dxa"/>
            <w:tcBorders>
              <w:top w:val="single" w:color="auto" w:sz="12"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差额</w:t>
            </w:r>
          </w:p>
        </w:tc>
        <w:tc>
          <w:tcPr>
            <w:tcW w:w="1325" w:type="dxa"/>
            <w:tcBorders>
              <w:top w:val="single" w:color="auto" w:sz="12" w:space="0"/>
              <w:left w:val="dashSmallGap" w:color="auto" w:sz="4" w:space="0"/>
              <w:bottom w:val="dashSmallGap" w:color="auto" w:sz="4" w:space="0"/>
              <w:right w:val="nil"/>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资金使用率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restart"/>
            <w:tcBorders>
              <w:top w:val="dashSmallGap" w:color="auto" w:sz="4" w:space="0"/>
              <w:left w:val="nil"/>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大祥区</w:t>
            </w:r>
          </w:p>
        </w:tc>
        <w:tc>
          <w:tcPr>
            <w:tcW w:w="1133" w:type="dxa"/>
            <w:vMerge w:val="restart"/>
            <w:tcBorders>
              <w:top w:val="dashSmallGap" w:color="auto" w:sz="4" w:space="0"/>
              <w:left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人居环境</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邵财农指〔2021〕27号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20.16</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20.00</w:t>
            </w:r>
          </w:p>
        </w:tc>
        <w:tc>
          <w:tcPr>
            <w:tcW w:w="71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0.16</w:t>
            </w:r>
          </w:p>
        </w:tc>
        <w:tc>
          <w:tcPr>
            <w:tcW w:w="1325"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99.21%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tcBorders>
              <w:left w:val="nil"/>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p>
        </w:tc>
        <w:tc>
          <w:tcPr>
            <w:tcW w:w="1133" w:type="dxa"/>
            <w:vMerge w:val="continue"/>
            <w:tcBorders>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邵财农指〔2022〕52号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35.00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15.00</w:t>
            </w:r>
          </w:p>
        </w:tc>
        <w:tc>
          <w:tcPr>
            <w:tcW w:w="71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20.00</w:t>
            </w:r>
          </w:p>
        </w:tc>
        <w:tc>
          <w:tcPr>
            <w:tcW w:w="1325"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42.86%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vMerge w:val="continue"/>
            <w:tcBorders>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p>
        </w:tc>
        <w:tc>
          <w:tcPr>
            <w:tcW w:w="1133"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美丽乡村</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邵财农指〔2022〕56号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71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20.00</w:t>
            </w:r>
          </w:p>
        </w:tc>
        <w:tc>
          <w:tcPr>
            <w:tcW w:w="1325"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邵阳县</w:t>
            </w:r>
          </w:p>
        </w:tc>
        <w:tc>
          <w:tcPr>
            <w:tcW w:w="1133"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油茶救灾</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邵财农指〔2022〕55号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95.00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55.00</w:t>
            </w:r>
          </w:p>
        </w:tc>
        <w:tc>
          <w:tcPr>
            <w:tcW w:w="71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40.00</w:t>
            </w:r>
          </w:p>
        </w:tc>
        <w:tc>
          <w:tcPr>
            <w:tcW w:w="1325"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新宁县</w:t>
            </w:r>
          </w:p>
        </w:tc>
        <w:tc>
          <w:tcPr>
            <w:tcW w:w="1133"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油茶救灾</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邵财农指〔2022〕55号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71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20.00</w:t>
            </w:r>
          </w:p>
        </w:tc>
        <w:tc>
          <w:tcPr>
            <w:tcW w:w="1325"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top w:val="dashSmallGap" w:color="auto" w:sz="4" w:space="0"/>
              <w:left w:val="nil"/>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隆回县</w:t>
            </w:r>
          </w:p>
        </w:tc>
        <w:tc>
          <w:tcPr>
            <w:tcW w:w="1133"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人居环境</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邵财农指〔2022〕52号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55.00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25.00</w:t>
            </w:r>
          </w:p>
        </w:tc>
        <w:tc>
          <w:tcPr>
            <w:tcW w:w="71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30.00</w:t>
            </w:r>
          </w:p>
        </w:tc>
        <w:tc>
          <w:tcPr>
            <w:tcW w:w="1325"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top w:val="dashSmallGap" w:color="auto" w:sz="4" w:space="0"/>
              <w:left w:val="nil"/>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武冈市</w:t>
            </w:r>
          </w:p>
        </w:tc>
        <w:tc>
          <w:tcPr>
            <w:tcW w:w="1133" w:type="dxa"/>
            <w:tcBorders>
              <w:top w:val="dashSmallGap" w:color="auto" w:sz="4" w:space="0"/>
              <w:left w:val="dashSmallGap" w:color="auto" w:sz="4" w:space="0"/>
              <w:bottom w:val="dashSmallGap" w:color="auto" w:sz="4"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农村改厕</w:t>
            </w:r>
          </w:p>
        </w:tc>
        <w:tc>
          <w:tcPr>
            <w:tcW w:w="2346"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邵财农指〔2022〕13号</w:t>
            </w:r>
          </w:p>
        </w:tc>
        <w:tc>
          <w:tcPr>
            <w:tcW w:w="1018"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15.00</w:t>
            </w:r>
          </w:p>
        </w:tc>
        <w:tc>
          <w:tcPr>
            <w:tcW w:w="1030"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c>
          <w:tcPr>
            <w:tcW w:w="711" w:type="dxa"/>
            <w:tcBorders>
              <w:top w:val="dashSmallGap" w:color="auto" w:sz="4" w:space="0"/>
              <w:left w:val="dashSmallGap" w:color="auto" w:sz="4" w:space="0"/>
              <w:bottom w:val="dashSmallGap" w:color="auto" w:sz="4" w:space="0"/>
              <w:right w:val="dashSmallGap" w:color="auto" w:sz="4" w:space="0"/>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15.00</w:t>
            </w:r>
          </w:p>
        </w:tc>
        <w:tc>
          <w:tcPr>
            <w:tcW w:w="1325" w:type="dxa"/>
            <w:tcBorders>
              <w:top w:val="dashSmallGap" w:color="auto" w:sz="4" w:space="0"/>
              <w:left w:val="dashSmallGap" w:color="auto" w:sz="4" w:space="0"/>
              <w:bottom w:val="dashSmallGap" w:color="auto" w:sz="4" w:space="0"/>
              <w:right w:val="nil"/>
            </w:tcBorders>
            <w:shd w:val="clear" w:color="auto" w:fill="auto"/>
            <w:vAlign w:val="center"/>
          </w:tcPr>
          <w:p>
            <w:pPr>
              <w:pStyle w:val="18"/>
              <w:autoSpaceDE w:val="0"/>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38" w:type="dxa"/>
            <w:gridSpan w:val="3"/>
            <w:tcBorders>
              <w:top w:val="dashSmallGap" w:color="auto" w:sz="4" w:space="0"/>
              <w:left w:val="nil"/>
              <w:bottom w:val="single" w:color="auto" w:sz="12" w:space="0"/>
              <w:right w:val="dashSmallGap" w:color="auto" w:sz="4" w:space="0"/>
            </w:tcBorders>
            <w:shd w:val="clear" w:color="auto" w:fill="auto"/>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合计</w:t>
            </w:r>
          </w:p>
        </w:tc>
        <w:tc>
          <w:tcPr>
            <w:tcW w:w="1018" w:type="dxa"/>
            <w:tcBorders>
              <w:top w:val="dashSmallGap" w:color="auto" w:sz="4" w:space="0"/>
              <w:left w:val="dashSmallGap" w:color="auto" w:sz="4" w:space="0"/>
              <w:bottom w:val="single" w:color="auto" w:sz="12" w:space="0"/>
              <w:right w:val="dashSmallGap" w:color="auto" w:sz="4" w:space="0"/>
            </w:tcBorders>
            <w:shd w:val="clear" w:color="auto" w:fill="auto"/>
            <w:vAlign w:val="bottom"/>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等线" w:cs="Times New Roman"/>
                <w:b/>
                <w:bCs/>
                <w:color w:val="000000"/>
              </w:rPr>
              <w:t>260.16</w:t>
            </w:r>
          </w:p>
        </w:tc>
        <w:tc>
          <w:tcPr>
            <w:tcW w:w="1030" w:type="dxa"/>
            <w:tcBorders>
              <w:top w:val="dashSmallGap" w:color="auto" w:sz="4" w:space="0"/>
              <w:left w:val="dashSmallGap" w:color="auto" w:sz="4" w:space="0"/>
              <w:bottom w:val="single" w:color="auto" w:sz="12" w:space="0"/>
              <w:right w:val="dashSmallGap" w:color="auto" w:sz="4" w:space="0"/>
            </w:tcBorders>
            <w:shd w:val="clear" w:color="auto" w:fill="auto"/>
            <w:vAlign w:val="bottom"/>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等线" w:cs="Times New Roman"/>
                <w:b/>
                <w:bCs/>
                <w:color w:val="000000"/>
              </w:rPr>
              <w:t>115</w:t>
            </w:r>
          </w:p>
        </w:tc>
        <w:tc>
          <w:tcPr>
            <w:tcW w:w="711" w:type="dxa"/>
            <w:tcBorders>
              <w:top w:val="dashSmallGap" w:color="auto" w:sz="4" w:space="0"/>
              <w:left w:val="dashSmallGap" w:color="auto" w:sz="4" w:space="0"/>
              <w:bottom w:val="single" w:color="auto" w:sz="12" w:space="0"/>
              <w:right w:val="dashSmallGap" w:color="auto" w:sz="4" w:space="0"/>
            </w:tcBorders>
            <w:shd w:val="clear" w:color="auto" w:fill="auto"/>
            <w:vAlign w:val="bottom"/>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等线" w:cs="Times New Roman"/>
                <w:b/>
                <w:bCs/>
                <w:color w:val="000000"/>
              </w:rPr>
              <w:t>145.16</w:t>
            </w:r>
          </w:p>
        </w:tc>
        <w:tc>
          <w:tcPr>
            <w:tcW w:w="1325" w:type="dxa"/>
            <w:tcBorders>
              <w:top w:val="dashSmallGap" w:color="auto" w:sz="4" w:space="0"/>
              <w:left w:val="dashSmallGap" w:color="auto" w:sz="4" w:space="0"/>
              <w:bottom w:val="single" w:color="auto" w:sz="12" w:space="0"/>
              <w:right w:val="nil"/>
            </w:tcBorders>
            <w:shd w:val="clear" w:color="auto" w:fill="auto"/>
            <w:vAlign w:val="bottom"/>
          </w:tcPr>
          <w:p>
            <w:pPr>
              <w:pStyle w:val="18"/>
              <w:autoSpaceDE w:val="0"/>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等线" w:cs="Times New Roman"/>
                <w:b/>
                <w:bCs/>
                <w:color w:val="000000"/>
              </w:rPr>
              <w:t>44.20%</w:t>
            </w:r>
          </w:p>
        </w:tc>
      </w:tr>
    </w:tbl>
    <w:p>
      <w:pPr>
        <w:pStyle w:val="18"/>
        <w:autoSpaceDE w:val="0"/>
        <w:spacing w:line="58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经现场抽查资金使用情况，发现存在专项资金使用方向与预算支出方向不符的现象：2021年市乡村振兴局2022年农村改厕项目，其局本级专项资金31.13万元有用于支付植树造林管护费</w:t>
      </w:r>
      <w:r>
        <w:rPr>
          <w:rFonts w:hint="default" w:ascii="Times New Roman" w:hAnsi="Times New Roman" w:eastAsia="仿宋" w:cs="Times New Roman"/>
          <w:sz w:val="32"/>
          <w:szCs w:val="32"/>
        </w:rPr>
        <w:t>，事业编制招聘录用考试费用，电视台播放新春贺词宣传费等。</w:t>
      </w:r>
    </w:p>
    <w:p>
      <w:pPr>
        <w:adjustRightInd w:val="0"/>
        <w:snapToGrid w:val="0"/>
        <w:spacing w:line="60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4、项目组织实施情况</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农村改厕项目由市农业农村局和市乡村振兴局负责管理，该项目为先建后补。首先市农业农村局和市乡村振兴局根据《关于明确2020年全省农村改厕计划安排的通知》（湘农函〔2020〕103号）《关于做好2022年度全省农村户用卫生厕所改（新）建工作的通知》（湘振局发〔2022〕11号）等省级文件，明确邵阳市2020-2022年改厕任务数。然后下发市级通知文件，将项目要求以及厕改计划数下达至各区县局。各县市区根据自身工作实际情况，或由县农业工作领导小组、县乡村振兴局直接负责，或由各乡镇人民政府负责，统一按照《农村三格式户厕建设技术规范〔GB/T38836—2020〕》标准，按“水冲式蹲便或坐便+整体式三格化粪池”的模式进行统一改造。项目完成后统一按照《农村户厕卫生规范》（GB19379-2012）标准进行验收，验收完成后按照户厕100元/户，公厕10000元/座进行奖补。</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人居环境整治项目实施包括通知、申报、审核、奖补等环节。具体为由市农村人居环境整治工作领导小组印发通知，将先进乡镇、先进村和先进个人的名额分配至各个县市区。各县市区农业农村局、人居环境整治项目建设指挥部等单位根据通知，填报提交《先进乡镇申报表》、《先进个人申报表》等申报材料。经县市区委农办、纪检监察等部门初审、县市区分管领导审批后，向市农业农村局提交相关材料，经市农业农村局审核确定奖励名单。</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省级美丽乡村示范村项目包括通知、申报、初审、符合和奖补等环节。具体为首先根据《关于明确2021年省级美丽乡村示范村和省级特色精品乡村创建名单的通知》（湘农函〔2021〕175号）文件，确定2021年省级美丽乡村示范村邵阳市表彰名额数量。市农业农村局根据分配名额，通知县市区局按名额数自愿申报，市农业农村局初审各村产业、生态、乡风、治理和经济等五个方面内容后，确定并上报名单文件至省农业农村厅。经省厅审查相关申报材料并现场抽查评价后，最终确定省级美丽乡村和省级特色精品乡村创建村名单并进行奖补。</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油茶产业救灾资金，首先各县市区油茶种植企业及个人向市林业局反映受灾情况及损失，并申请受灾补助资金。市林业局通过县市区林业局调查核实当地油茶受灾面积及程度，然后汇总统计相关数据，掌握了全市油茶受灾情况。经市林业局内部沟通后，向市领导提交《关于请求解决油茶救灾资金的报告》，经市级领导审批同意，向邵阳市各县市区受灾的油茶种植企业及个人发放共计300万元的油茶救灾资金。</w:t>
      </w:r>
    </w:p>
    <w:p>
      <w:pPr>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3、项目和资金管理制度建设及执行情况</w:t>
      </w:r>
    </w:p>
    <w:p>
      <w:pPr>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农村改厕项目</w:t>
      </w:r>
      <w:r>
        <w:rPr>
          <w:rFonts w:hint="default" w:ascii="Times New Roman" w:hAnsi="Times New Roman" w:eastAsia="仿宋_GB2312" w:cs="Times New Roman"/>
          <w:sz w:val="32"/>
          <w:szCs w:val="32"/>
        </w:rPr>
        <w:t>根据《邵阳市2020年度农村改厕工作实施方案》《邵阳市2021年度农村改厕工作实施方案》（邵农发〔2021〕6号）《关于做好2022年度邵阳市农村改厕工作的通知》（邵振局发〔2022〕3号）文件要求，对项目进行管理。以上文件对项目的目标任务、责任分工、督查考核等方面作出了要求。资金方面制定《邵阳市农业项目资金管理办法》和《邵阳市农村改厕专项资金管理办法》（邵财农〔2020〕2号），对专项资金的使用范围、专项资金的分配和使用管理以及绩效管理和监督检查等方面内容作出了规定。</w:t>
      </w:r>
      <w:r>
        <w:rPr>
          <w:rFonts w:hint="default" w:ascii="Times New Roman" w:hAnsi="Times New Roman" w:eastAsia="仿宋_GB2312" w:cs="Times New Roman"/>
          <w:b/>
          <w:bCs/>
          <w:sz w:val="32"/>
          <w:szCs w:val="32"/>
        </w:rPr>
        <w:t>人居环境整治和省级美丽乡村</w:t>
      </w:r>
      <w:r>
        <w:rPr>
          <w:rFonts w:hint="default" w:ascii="Times New Roman" w:hAnsi="Times New Roman" w:eastAsia="仿宋_GB2312" w:cs="Times New Roman"/>
          <w:sz w:val="32"/>
          <w:szCs w:val="32"/>
        </w:rPr>
        <w:t>项目内容为对省级美丽乡村示范村、人居环境工作先进单位及个人进行奖励和补助，故该两个项目按照《邵阳市农业项目资金管理办法》进行管理。该管理办法对项目的组织实施、资金管理、监督管理等方面作出了规定。</w:t>
      </w:r>
      <w:r>
        <w:rPr>
          <w:rFonts w:hint="default" w:ascii="Times New Roman" w:hAnsi="Times New Roman" w:eastAsia="仿宋_GB2312" w:cs="Times New Roman"/>
          <w:b/>
          <w:bCs/>
          <w:sz w:val="32"/>
          <w:szCs w:val="32"/>
        </w:rPr>
        <w:t>油茶产业救灾</w:t>
      </w:r>
      <w:r>
        <w:rPr>
          <w:rFonts w:hint="default" w:ascii="Times New Roman" w:hAnsi="Times New Roman" w:eastAsia="仿宋_GB2312" w:cs="Times New Roman"/>
          <w:sz w:val="32"/>
          <w:szCs w:val="32"/>
        </w:rPr>
        <w:t>项目根据《农业防灾减灾和水利救灾资金管理》进行管理，该管理办法对救灾资金的使用范围、资金分配、下达和使用管理等方面作出了明确规定。</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经现场评价，发现项目存在产出数量未达预期目标，资金使用率不高、挤占专项资金等情况。</w:t>
      </w:r>
    </w:p>
    <w:p>
      <w:pPr>
        <w:pStyle w:val="3"/>
        <w:ind w:firstLine="643"/>
        <w:rPr>
          <w:rFonts w:hint="default" w:ascii="Times New Roman" w:hAnsi="Times New Roman" w:eastAsia="仿宋" w:cs="Times New Roman"/>
        </w:rPr>
      </w:pPr>
      <w:bookmarkStart w:id="7" w:name="_Toc146720244"/>
      <w:r>
        <w:rPr>
          <w:rFonts w:hint="default" w:ascii="Times New Roman" w:hAnsi="Times New Roman" w:cs="Times New Roman"/>
        </w:rPr>
        <w:t>（三）预算支出绩效目标完成情况</w:t>
      </w:r>
      <w:bookmarkEnd w:id="7"/>
    </w:p>
    <w:p>
      <w:pPr>
        <w:pStyle w:val="18"/>
        <w:adjustRightInd w:val="0"/>
        <w:spacing w:line="60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经现场收集并检查资料，项目单位未提供绩效目标申报表，不能充分反映项目预期产出和效果。根据提供的项目绩效自评表衡量各项目绩效目标实现情况，详情如下：</w:t>
      </w:r>
    </w:p>
    <w:p>
      <w:pPr>
        <w:pStyle w:val="18"/>
        <w:adjustRightInd w:val="0"/>
        <w:spacing w:line="60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1、农村改厕项目：</w:t>
      </w:r>
      <w:r>
        <w:rPr>
          <w:rFonts w:hint="default" w:ascii="Times New Roman" w:hAnsi="Times New Roman" w:eastAsia="仿宋_GB2312" w:cs="Times New Roman"/>
          <w:sz w:val="32"/>
          <w:szCs w:val="32"/>
        </w:rPr>
        <w:t>计划对2020-2022年共计128015个户厕，32座公厕完成奖补。质量指标为通过农村改（新）建厕改考核验收率100%；时效指标为完工时间12月20日；成本指标为奖补资金100元/户，公厕10000元/座；经济效益指标为有效推动农业产业兴旺；社会效益指标为提高厕污处理率；生态效益指标为改善农村人居环境；可持续影响指标为辐射带动周边村庄；满意度指标为群众满意度99%以上。</w:t>
      </w:r>
    </w:p>
    <w:p>
      <w:pPr>
        <w:pStyle w:val="18"/>
        <w:adjustRightInd w:val="0"/>
        <w:spacing w:line="60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际完成125715个户厕奖补，32座公厕奖补。少奖补户厕9300户，其原因是截至绩效评价日，武冈市暂未对2022年1500个户厕进行奖补，双清区和邵阳县财政局未将2022年78万元改厕奖补资金拨付到位，少奖补7800户，故共计少奖补9300个户厕。经现场查看，已完成的农村卫生厕所均按要求设计安装，验收合格率100%。且补助均按标准进行补助。而根据问卷调查该项目建设和后期维修满意度为99.75%。</w:t>
      </w:r>
    </w:p>
    <w:p>
      <w:pPr>
        <w:pStyle w:val="18"/>
        <w:adjustRightInd w:val="0"/>
        <w:spacing w:line="60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2、人居环境整治项目</w:t>
      </w:r>
      <w:r>
        <w:rPr>
          <w:rFonts w:hint="default" w:ascii="Times New Roman" w:hAnsi="Times New Roman" w:eastAsia="仿宋_GB2312" w:cs="Times New Roman"/>
          <w:sz w:val="32"/>
          <w:szCs w:val="32"/>
        </w:rPr>
        <w:t>计划完成对67个先进乡镇、109个先进村和96个先进个人的奖励。质量指标为项目验收合格率100%；时效指标为任务完成时间6个月；成本指标为投资成本低于市级财政奖补资金；经济效益指标为农民人均增收较项目实施前有所提升；社会效益指标为促进地方经济发展；生态效益指标为生态改善；满意度指标为群众满意度95%以上。</w:t>
      </w:r>
    </w:p>
    <w:p>
      <w:pPr>
        <w:pStyle w:val="18"/>
        <w:adjustRightInd w:val="0"/>
        <w:spacing w:line="60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实际完成62个先进乡镇、98个先进村和88个先进个人的奖励，少奖励5个乡镇、11个村和8个人，具体少奖励情况及原因如下：</w:t>
      </w:r>
    </w:p>
    <w:tbl>
      <w:tblPr>
        <w:tblStyle w:val="22"/>
        <w:tblW w:w="0" w:type="auto"/>
        <w:tblInd w:w="0" w:type="dxa"/>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Layout w:type="autofit"/>
        <w:tblCellMar>
          <w:top w:w="0" w:type="dxa"/>
          <w:left w:w="108" w:type="dxa"/>
          <w:bottom w:w="0" w:type="dxa"/>
          <w:right w:w="108" w:type="dxa"/>
        </w:tblCellMar>
      </w:tblPr>
      <w:tblGrid>
        <w:gridCol w:w="1420"/>
        <w:gridCol w:w="1240"/>
        <w:gridCol w:w="1417"/>
        <w:gridCol w:w="1418"/>
        <w:gridCol w:w="1276"/>
        <w:gridCol w:w="1751"/>
      </w:tblGrid>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108" w:type="dxa"/>
            <w:bottom w:w="0" w:type="dxa"/>
            <w:right w:w="108" w:type="dxa"/>
          </w:tblCellMar>
        </w:tblPrEx>
        <w:trPr>
          <w:trHeight w:val="567" w:hRule="atLeast"/>
        </w:trPr>
        <w:tc>
          <w:tcPr>
            <w:tcW w:w="142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县市区</w:t>
            </w:r>
          </w:p>
        </w:tc>
        <w:tc>
          <w:tcPr>
            <w:tcW w:w="124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时间</w:t>
            </w:r>
          </w:p>
        </w:tc>
        <w:tc>
          <w:tcPr>
            <w:tcW w:w="1417" w:type="dxa"/>
            <w:shd w:val="clear" w:color="auto" w:fill="auto"/>
            <w:vAlign w:val="center"/>
          </w:tcPr>
          <w:p>
            <w:pPr>
              <w:pStyle w:val="18"/>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先进乡镇</w:t>
            </w:r>
          </w:p>
        </w:tc>
        <w:tc>
          <w:tcPr>
            <w:tcW w:w="1418" w:type="dxa"/>
            <w:shd w:val="clear" w:color="auto" w:fill="auto"/>
            <w:vAlign w:val="center"/>
          </w:tcPr>
          <w:p>
            <w:pPr>
              <w:pStyle w:val="18"/>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先进村</w:t>
            </w:r>
          </w:p>
        </w:tc>
        <w:tc>
          <w:tcPr>
            <w:tcW w:w="1276" w:type="dxa"/>
            <w:shd w:val="clear" w:color="auto" w:fill="auto"/>
            <w:vAlign w:val="center"/>
          </w:tcPr>
          <w:p>
            <w:pPr>
              <w:pStyle w:val="18"/>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先进个人</w:t>
            </w:r>
          </w:p>
        </w:tc>
        <w:tc>
          <w:tcPr>
            <w:tcW w:w="1751" w:type="dxa"/>
            <w:shd w:val="clear" w:color="auto" w:fill="auto"/>
            <w:vAlign w:val="center"/>
          </w:tcPr>
          <w:p>
            <w:pPr>
              <w:pStyle w:val="18"/>
              <w:adjustRightIn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原因</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108" w:type="dxa"/>
            <w:bottom w:w="0" w:type="dxa"/>
            <w:right w:w="108" w:type="dxa"/>
          </w:tblCellMar>
        </w:tblPrEx>
        <w:trPr>
          <w:trHeight w:val="567" w:hRule="atLeast"/>
        </w:trPr>
        <w:tc>
          <w:tcPr>
            <w:tcW w:w="142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邵阳县</w:t>
            </w:r>
          </w:p>
        </w:tc>
        <w:tc>
          <w:tcPr>
            <w:tcW w:w="124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2020</w:t>
            </w:r>
          </w:p>
        </w:tc>
        <w:tc>
          <w:tcPr>
            <w:tcW w:w="1417"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1418"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1276"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w:t>
            </w:r>
          </w:p>
        </w:tc>
        <w:tc>
          <w:tcPr>
            <w:tcW w:w="1751" w:type="dxa"/>
            <w:shd w:val="clear" w:color="auto" w:fill="auto"/>
            <w:vAlign w:val="center"/>
          </w:tcPr>
          <w:p>
            <w:pPr>
              <w:pStyle w:val="18"/>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rPr>
              <w:t>县财政局未拨款</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108" w:type="dxa"/>
            <w:bottom w:w="0" w:type="dxa"/>
            <w:right w:w="108" w:type="dxa"/>
          </w:tblCellMar>
        </w:tblPrEx>
        <w:trPr>
          <w:trHeight w:val="567" w:hRule="atLeast"/>
        </w:trPr>
        <w:tc>
          <w:tcPr>
            <w:tcW w:w="1420" w:type="dxa"/>
            <w:vMerge w:val="restart"/>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双清区</w:t>
            </w:r>
          </w:p>
        </w:tc>
        <w:tc>
          <w:tcPr>
            <w:tcW w:w="124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2020</w:t>
            </w:r>
          </w:p>
        </w:tc>
        <w:tc>
          <w:tcPr>
            <w:tcW w:w="1417"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1418"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1276"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1751" w:type="dxa"/>
            <w:vMerge w:val="restart"/>
            <w:shd w:val="clear" w:color="auto" w:fill="auto"/>
            <w:vAlign w:val="center"/>
          </w:tcPr>
          <w:p>
            <w:pPr>
              <w:pStyle w:val="18"/>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rPr>
              <w:t>区财政局未拨款</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108" w:type="dxa"/>
            <w:bottom w:w="0" w:type="dxa"/>
            <w:right w:w="108" w:type="dxa"/>
          </w:tblCellMar>
        </w:tblPrEx>
        <w:trPr>
          <w:trHeight w:val="567" w:hRule="atLeast"/>
        </w:trPr>
        <w:tc>
          <w:tcPr>
            <w:tcW w:w="1420" w:type="dxa"/>
            <w:vMerge w:val="continue"/>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p>
        </w:tc>
        <w:tc>
          <w:tcPr>
            <w:tcW w:w="124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2022</w:t>
            </w:r>
          </w:p>
        </w:tc>
        <w:tc>
          <w:tcPr>
            <w:tcW w:w="1417"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1418"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1276"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p>
        </w:tc>
        <w:tc>
          <w:tcPr>
            <w:tcW w:w="1751" w:type="dxa"/>
            <w:vMerge w:val="continue"/>
            <w:shd w:val="clear" w:color="auto" w:fill="auto"/>
            <w:vAlign w:val="center"/>
          </w:tcPr>
          <w:p>
            <w:pPr>
              <w:pStyle w:val="18"/>
              <w:adjustRightInd w:val="0"/>
              <w:spacing w:line="240" w:lineRule="atLeast"/>
              <w:jc w:val="both"/>
              <w:rPr>
                <w:rFonts w:hint="default" w:ascii="Times New Roman" w:hAnsi="Times New Roman" w:eastAsia="仿宋_GB2312" w:cs="Times New Roman"/>
              </w:rPr>
            </w:pP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108" w:type="dxa"/>
            <w:bottom w:w="0" w:type="dxa"/>
            <w:right w:w="108" w:type="dxa"/>
          </w:tblCellMar>
        </w:tblPrEx>
        <w:trPr>
          <w:trHeight w:val="567" w:hRule="atLeast"/>
        </w:trPr>
        <w:tc>
          <w:tcPr>
            <w:tcW w:w="1420" w:type="dxa"/>
            <w:vMerge w:val="restart"/>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大祥区</w:t>
            </w:r>
          </w:p>
        </w:tc>
        <w:tc>
          <w:tcPr>
            <w:tcW w:w="124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2021</w:t>
            </w:r>
          </w:p>
        </w:tc>
        <w:tc>
          <w:tcPr>
            <w:tcW w:w="1417"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p>
        </w:tc>
        <w:tc>
          <w:tcPr>
            <w:tcW w:w="1418"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p>
        </w:tc>
        <w:tc>
          <w:tcPr>
            <w:tcW w:w="1276"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1751" w:type="dxa"/>
            <w:shd w:val="clear" w:color="auto" w:fill="auto"/>
            <w:vAlign w:val="center"/>
          </w:tcPr>
          <w:p>
            <w:pPr>
              <w:pStyle w:val="18"/>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rPr>
              <w:t>个人拒绝收取，区农业局用于公用经费</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108" w:type="dxa"/>
            <w:bottom w:w="0" w:type="dxa"/>
            <w:right w:w="108" w:type="dxa"/>
          </w:tblCellMar>
        </w:tblPrEx>
        <w:trPr>
          <w:trHeight w:val="567" w:hRule="atLeast"/>
        </w:trPr>
        <w:tc>
          <w:tcPr>
            <w:tcW w:w="1420" w:type="dxa"/>
            <w:vMerge w:val="continue"/>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p>
        </w:tc>
        <w:tc>
          <w:tcPr>
            <w:tcW w:w="124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2022</w:t>
            </w:r>
          </w:p>
        </w:tc>
        <w:tc>
          <w:tcPr>
            <w:tcW w:w="1417"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1418"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w:t>
            </w:r>
          </w:p>
        </w:tc>
        <w:tc>
          <w:tcPr>
            <w:tcW w:w="1276"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p>
        </w:tc>
        <w:tc>
          <w:tcPr>
            <w:tcW w:w="1751" w:type="dxa"/>
            <w:shd w:val="clear" w:color="auto" w:fill="auto"/>
            <w:vAlign w:val="center"/>
          </w:tcPr>
          <w:p>
            <w:pPr>
              <w:pStyle w:val="18"/>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rPr>
              <w:t>区农业局未使用</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108" w:type="dxa"/>
            <w:bottom w:w="0" w:type="dxa"/>
            <w:right w:w="108" w:type="dxa"/>
          </w:tblCellMar>
        </w:tblPrEx>
        <w:trPr>
          <w:trHeight w:val="567" w:hRule="atLeast"/>
        </w:trPr>
        <w:tc>
          <w:tcPr>
            <w:tcW w:w="142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邵东市</w:t>
            </w:r>
          </w:p>
        </w:tc>
        <w:tc>
          <w:tcPr>
            <w:tcW w:w="1240"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2022</w:t>
            </w:r>
          </w:p>
        </w:tc>
        <w:tc>
          <w:tcPr>
            <w:tcW w:w="1417"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w:t>
            </w:r>
          </w:p>
        </w:tc>
        <w:tc>
          <w:tcPr>
            <w:tcW w:w="1418"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4</w:t>
            </w:r>
          </w:p>
        </w:tc>
        <w:tc>
          <w:tcPr>
            <w:tcW w:w="1276"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p>
        </w:tc>
        <w:tc>
          <w:tcPr>
            <w:tcW w:w="1751" w:type="dxa"/>
            <w:shd w:val="clear" w:color="auto" w:fill="auto"/>
            <w:vAlign w:val="center"/>
          </w:tcPr>
          <w:p>
            <w:pPr>
              <w:pStyle w:val="18"/>
              <w:adjustRightInd w:val="0"/>
              <w:spacing w:line="240" w:lineRule="atLeast"/>
              <w:jc w:val="both"/>
              <w:rPr>
                <w:rFonts w:hint="default" w:ascii="Times New Roman" w:hAnsi="Times New Roman" w:eastAsia="仿宋_GB2312" w:cs="Times New Roman"/>
              </w:rPr>
            </w:pPr>
            <w:r>
              <w:rPr>
                <w:rFonts w:hint="default" w:ascii="Times New Roman" w:hAnsi="Times New Roman" w:eastAsia="仿宋_GB2312" w:cs="Times New Roman"/>
              </w:rPr>
              <w:t>县财政局未拨付款项</w:t>
            </w:r>
          </w:p>
        </w:tc>
      </w:tr>
      <w:tr>
        <w:tblPrEx>
          <w:tblBorders>
            <w:top w:val="single" w:color="auto" w:sz="12" w:space="0"/>
            <w:left w:val="none" w:color="auto" w:sz="0" w:space="0"/>
            <w:bottom w:val="single" w:color="auto" w:sz="12" w:space="0"/>
            <w:right w:val="none" w:color="auto" w:sz="0" w:space="0"/>
            <w:insideH w:val="dashSmallGap" w:color="auto" w:sz="4" w:space="0"/>
            <w:insideV w:val="dashSmallGap" w:color="auto" w:sz="4" w:space="0"/>
          </w:tblBorders>
          <w:tblCellMar>
            <w:top w:w="0" w:type="dxa"/>
            <w:left w:w="108" w:type="dxa"/>
            <w:bottom w:w="0" w:type="dxa"/>
            <w:right w:w="108" w:type="dxa"/>
          </w:tblCellMar>
        </w:tblPrEx>
        <w:trPr>
          <w:trHeight w:val="567" w:hRule="atLeast"/>
        </w:trPr>
        <w:tc>
          <w:tcPr>
            <w:tcW w:w="2660" w:type="dxa"/>
            <w:gridSpan w:val="2"/>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合计</w:t>
            </w:r>
          </w:p>
        </w:tc>
        <w:tc>
          <w:tcPr>
            <w:tcW w:w="1417"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5</w:t>
            </w:r>
          </w:p>
        </w:tc>
        <w:tc>
          <w:tcPr>
            <w:tcW w:w="1418"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11</w:t>
            </w:r>
          </w:p>
        </w:tc>
        <w:tc>
          <w:tcPr>
            <w:tcW w:w="1276"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8</w:t>
            </w:r>
          </w:p>
        </w:tc>
        <w:tc>
          <w:tcPr>
            <w:tcW w:w="1751" w:type="dxa"/>
            <w:shd w:val="clear" w:color="auto" w:fill="auto"/>
            <w:vAlign w:val="center"/>
          </w:tcPr>
          <w:p>
            <w:pPr>
              <w:pStyle w:val="18"/>
              <w:adjustRightInd w:val="0"/>
              <w:spacing w:line="240" w:lineRule="atLeast"/>
              <w:jc w:val="center"/>
              <w:rPr>
                <w:rFonts w:hint="default" w:ascii="Times New Roman" w:hAnsi="Times New Roman" w:eastAsia="仿宋_GB2312" w:cs="Times New Roman"/>
              </w:rPr>
            </w:pPr>
          </w:p>
        </w:tc>
      </w:tr>
    </w:tbl>
    <w:p>
      <w:pPr>
        <w:pStyle w:val="18"/>
        <w:adjustRightInd w:val="0"/>
        <w:spacing w:line="60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根据问卷调查，该项目整体满意度为98.43%。</w:t>
      </w:r>
    </w:p>
    <w:p>
      <w:pPr>
        <w:pStyle w:val="18"/>
        <w:adjustRightInd w:val="0"/>
        <w:spacing w:line="60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3、省级美丽乡村示范村</w:t>
      </w:r>
      <w:r>
        <w:rPr>
          <w:rFonts w:hint="default" w:ascii="Times New Roman" w:hAnsi="Times New Roman" w:eastAsia="仿宋_GB2312" w:cs="Times New Roman"/>
          <w:sz w:val="32"/>
          <w:szCs w:val="32"/>
        </w:rPr>
        <w:t>2021年数量指标为创建省级美丽乡村示范村31个；质量指标为通过省级美丽乡村示范村考核验收31个；成本指标为奖补资金310万元；经济效益指标为有效推动农业产业兴旺；社会效益指标为存进乡风文明，起到示范引领作用，生态效益指标为改善农村人居环境，满意度指标为群众满意度95%以上。</w:t>
      </w:r>
    </w:p>
    <w:p>
      <w:pPr>
        <w:pStyle w:val="18"/>
        <w:adjustRightInd w:val="0"/>
        <w:spacing w:line="60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际完成24个省级美丽乡村奖励，少奖励7个村，其中邵东市4个、双清区1个，大祥区2个。邵东市和双清区是因为县市区财政局未将资金拨付到位，大祥区是因为区农业局未将该笔资金用于奖励省级美丽乡村。根据问卷调查统计结果，该项目整体满意度为98.43%。</w:t>
      </w:r>
    </w:p>
    <w:p>
      <w:pPr>
        <w:pStyle w:val="18"/>
        <w:adjustRightInd w:val="0"/>
        <w:spacing w:line="600" w:lineRule="exact"/>
        <w:ind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4、油茶产业救灾资金</w:t>
      </w:r>
      <w:r>
        <w:rPr>
          <w:rFonts w:hint="default" w:ascii="Times New Roman" w:hAnsi="Times New Roman" w:eastAsia="仿宋_GB2312" w:cs="Times New Roman"/>
          <w:sz w:val="32"/>
          <w:szCs w:val="32"/>
        </w:rPr>
        <w:t>2022年数量指标为油茶救灾支持47家企业，质量指标为确定油茶救灾支持对象评选过程公平、公正、资料和程序完整；时效指标为2022年12月31日之前；成本指标为省级以上龙头企业10万元/家，其他单位或大户5万元/家；经济效益指标为油茶企业受灾损失减少；社会效益为增加企业和种植户信息；生态效益指标为改善农村人居环境；满意度指标为受助油茶企业满意度100%。</w:t>
      </w:r>
    </w:p>
    <w:p>
      <w:pPr>
        <w:pStyle w:val="18"/>
        <w:adjustRightInd w:val="0"/>
        <w:spacing w:line="60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际完成对38家油茶种植企业和大户救助，少完成9家。其中邵阳县还有40万元未拨付，分别为湖南四良农林开发有限公司、湖南小康生态科技有限公司、湖南省东方油茶鲜果加工与贸易物流服务有限公司和湖南日恋茶油股份有限公司各10万元；新宁县局未拨付20万元，分别为新宁县安山乡赤矿村种植大户王治华、新宁县马头桥红旗村种植大户刘豪红、新宁县宏</w:t>
      </w:r>
      <w:r>
        <w:rPr>
          <w:rFonts w:hint="default" w:ascii="Times New Roman" w:hAnsi="Times New Roman" w:eastAsia="仿宋" w:cs="Times New Roman"/>
          <w:sz w:val="32"/>
          <w:szCs w:val="32"/>
        </w:rPr>
        <w:t>昇</w:t>
      </w:r>
      <w:r>
        <w:rPr>
          <w:rFonts w:hint="default" w:ascii="Times New Roman" w:hAnsi="Times New Roman" w:eastAsia="仿宋_GB2312" w:cs="Times New Roman"/>
          <w:sz w:val="32"/>
          <w:szCs w:val="32"/>
        </w:rPr>
        <w:t>农业开发有限公司和新宁县万里油茶种植有限公司各5万元；大祥区财政局剩余5万元未拨付，为邵阳市金龙旺农民种养专业合作社5万元。根据问卷调查该项目整体满意度为100%。</w:t>
      </w:r>
    </w:p>
    <w:p>
      <w:pPr>
        <w:pStyle w:val="2"/>
        <w:ind w:firstLine="643"/>
        <w:rPr>
          <w:rFonts w:hint="default" w:ascii="Times New Roman" w:hAnsi="Times New Roman" w:cs="Times New Roman"/>
          <w:b/>
          <w:bCs/>
        </w:rPr>
      </w:pPr>
      <w:bookmarkStart w:id="8" w:name="_Toc16846"/>
      <w:bookmarkEnd w:id="8"/>
      <w:bookmarkStart w:id="9" w:name="_Toc146720245"/>
      <w:r>
        <w:rPr>
          <w:rFonts w:hint="default" w:ascii="Times New Roman" w:hAnsi="Times New Roman" w:cs="Times New Roman"/>
          <w:b/>
          <w:bCs/>
        </w:rPr>
        <w:t>二、绩效评价工作情况</w:t>
      </w:r>
      <w:bookmarkEnd w:id="9"/>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6月25日，我所成立绩效评价工作小组，拟定评价指标体系和评价方案。2023年7月17日我所进驻邵阳市农业农村局、邵阳市林业局和邵阳市乡村振兴局，正式开展2020-2022年乡村振兴和农业专项经费重点绩效评价工作。</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我所组织开展重点绩效评价的主要方式有：</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是听取汇报、查阅资料。详细了解专项资金的设立依据、绩效目标设置等基本情况；重点检查了专项资金的使用情况，核查相关制度是否完善，专项项目申报、审批、实施等程序是否合规，资金拨付手续是否齐全，是否存在截留、挪用等情况。</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是抽查部分项目实施单位进行现场检查，针对2020-2022年乡村振兴和农业专项经费，评价工作组在部门评价的基础上，选取2900.13万元资金、3个县和3个区进行现场评价，分别占资金总额的44.12%和县市区总数的46.15%，进行了现场检查，了解项目实施情况、资金拨付情况、管理情况等。</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是组织问卷调查。为充分了解2020-2022年乡村振兴和农业专项经费使用效益，我所针对2020-2022年乡村振兴和农业专项经费所涉及的四个项目均进行了问卷调查，其中2020-2022年农村改厕项目共收到1709份调查问卷，2020-2022年人居环境整治及2021年省级美丽乡村示范村项目共收到1593份调查问卷，2022年油茶产业救灾资金共收回29份电子调查问卷。</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四是通过对相关资料进行综合分析，按照确定的评价指标和标准，结合现场评价情况，得出评价结论，形成绩效评价报告。</w:t>
      </w:r>
    </w:p>
    <w:p>
      <w:pPr>
        <w:pStyle w:val="2"/>
        <w:ind w:firstLine="643"/>
        <w:rPr>
          <w:rFonts w:hint="default" w:ascii="Times New Roman" w:hAnsi="Times New Roman" w:cs="Times New Roman"/>
          <w:b/>
          <w:bCs/>
        </w:rPr>
      </w:pPr>
      <w:bookmarkStart w:id="10" w:name="_Toc30834"/>
      <w:bookmarkEnd w:id="10"/>
      <w:bookmarkStart w:id="11" w:name="_Toc18260"/>
      <w:bookmarkEnd w:id="11"/>
      <w:bookmarkStart w:id="12" w:name="_Toc146720246"/>
      <w:r>
        <w:rPr>
          <w:rFonts w:hint="default" w:ascii="Times New Roman" w:hAnsi="Times New Roman" w:cs="Times New Roman"/>
          <w:b/>
          <w:bCs/>
        </w:rPr>
        <w:t>三、项目主要绩效及评价结论</w:t>
      </w:r>
      <w:bookmarkEnd w:id="12"/>
    </w:p>
    <w:p>
      <w:pPr>
        <w:pStyle w:val="3"/>
        <w:ind w:firstLine="643"/>
        <w:rPr>
          <w:rFonts w:hint="default" w:ascii="Times New Roman" w:hAnsi="Times New Roman" w:cs="Times New Roman"/>
        </w:rPr>
      </w:pPr>
      <w:bookmarkStart w:id="13" w:name="_Toc13237"/>
      <w:bookmarkEnd w:id="13"/>
      <w:bookmarkStart w:id="14" w:name="_Toc146720247"/>
      <w:r>
        <w:rPr>
          <w:rFonts w:hint="default" w:ascii="Times New Roman" w:hAnsi="Times New Roman" w:cs="Times New Roman"/>
        </w:rPr>
        <w:t>（一）</w:t>
      </w:r>
      <w:bookmarkStart w:id="15" w:name="_Toc19190"/>
      <w:bookmarkEnd w:id="15"/>
      <w:r>
        <w:rPr>
          <w:rFonts w:hint="default" w:ascii="Times New Roman" w:hAnsi="Times New Roman" w:cs="Times New Roman"/>
        </w:rPr>
        <w:t>项目主要绩效</w:t>
      </w:r>
      <w:bookmarkEnd w:id="14"/>
    </w:p>
    <w:p>
      <w:pPr>
        <w:adjustRightInd w:val="0"/>
        <w:snapToGrid w:val="0"/>
        <w:spacing w:line="600" w:lineRule="exact"/>
        <w:ind w:firstLine="643" w:firstLineChars="200"/>
        <w:rPr>
          <w:rFonts w:hint="default" w:ascii="Times New Roman" w:hAnsi="Times New Roman" w:eastAsia="仿宋_GB2312" w:cs="Times New Roman"/>
          <w:sz w:val="32"/>
          <w:szCs w:val="32"/>
        </w:rPr>
      </w:pPr>
      <w:bookmarkStart w:id="16" w:name="_Toc13811"/>
      <w:bookmarkEnd w:id="16"/>
      <w:r>
        <w:rPr>
          <w:rFonts w:hint="default" w:ascii="Times New Roman" w:hAnsi="Times New Roman" w:eastAsia="仿宋_GB2312" w:cs="Times New Roman"/>
          <w:b/>
          <w:bCs/>
          <w:sz w:val="32"/>
          <w:szCs w:val="32"/>
        </w:rPr>
        <w:t>1、减轻人民经济负担。</w:t>
      </w:r>
      <w:r>
        <w:rPr>
          <w:rFonts w:hint="default" w:ascii="Times New Roman" w:hAnsi="Times New Roman" w:eastAsia="仿宋_GB2312" w:cs="Times New Roman"/>
          <w:sz w:val="32"/>
          <w:szCs w:val="32"/>
        </w:rPr>
        <w:t>通过对油茶受灾企业和种植大户的补助，缓解了旱情对相关种植企业和大户的影响，通过对农村改厕项目进行补助，或直接发放补贴至农民手上，或免费为农民安装厕所，这种经济实惠的方式方法，减轻了广大农民的经济负担。</w:t>
      </w:r>
    </w:p>
    <w:p>
      <w:pPr>
        <w:adjustRightInd w:val="0"/>
        <w:snapToGrid w:val="0"/>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2、农村生活环境进一步完善。</w:t>
      </w:r>
      <w:r>
        <w:rPr>
          <w:rFonts w:hint="default" w:ascii="Times New Roman" w:hAnsi="Times New Roman" w:eastAsia="仿宋_GB2312" w:cs="Times New Roman"/>
          <w:sz w:val="32"/>
          <w:szCs w:val="32"/>
        </w:rPr>
        <w:t>通过逐步普及农村卫生厕所，合理规划布局农村公共厕所，改善了农民厕所卫生水平，加强厕所粪污无害化处理与资源化利用，降低传染病感染风险，切实改善了农村人居环境。</w:t>
      </w:r>
    </w:p>
    <w:p>
      <w:pPr>
        <w:adjustRightInd w:val="0"/>
        <w:snapToGrid w:val="0"/>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3、农民环境卫生观念增强。</w:t>
      </w:r>
      <w:r>
        <w:rPr>
          <w:rFonts w:hint="default" w:ascii="Times New Roman" w:hAnsi="Times New Roman" w:eastAsia="仿宋_GB2312" w:cs="Times New Roman"/>
          <w:sz w:val="32"/>
          <w:szCs w:val="32"/>
        </w:rPr>
        <w:t>农村改厕项目和农村人居环境整治不仅整出了好环境，通过借助广播电视、报纸杂志、微信、“村村响”等方式深入宣传改善农村人居环境的政策、意义和成效，还营造全社会关心支持农村人居环境整治的良好氛围，进一步增强了农民环境卫生的观念。</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b/>
          <w:bCs/>
          <w:sz w:val="32"/>
          <w:szCs w:val="32"/>
        </w:rPr>
        <w:t>农村生态环境得到改善。</w:t>
      </w:r>
      <w:r>
        <w:rPr>
          <w:rFonts w:hint="default" w:ascii="Times New Roman" w:hAnsi="Times New Roman" w:eastAsia="仿宋_GB2312" w:cs="Times New Roman"/>
          <w:sz w:val="32"/>
          <w:szCs w:val="32"/>
        </w:rPr>
        <w:t>通过加快推进农村生活污水治理，开展农村黑臭水体治理，基本消除较大面积黑臭水体，同时通过健全农村生活垃圾收运处置体系，推进农村生活垃圾分类减量与利用，进一步改善农村生态环境和乡村风貌。</w:t>
      </w:r>
    </w:p>
    <w:p>
      <w:pPr>
        <w:pStyle w:val="33"/>
        <w:ind w:left="420" w:leftChars="200" w:firstLine="360"/>
        <w:outlineLvl w:val="1"/>
        <w:rPr>
          <w:rFonts w:hint="default" w:ascii="Times New Roman" w:hAnsi="Times New Roman" w:eastAsia="楷体_GB2312" w:cs="Times New Roman"/>
          <w:b/>
          <w:sz w:val="32"/>
          <w:szCs w:val="32"/>
        </w:rPr>
      </w:pPr>
      <w:bookmarkStart w:id="17" w:name="_Toc146720248"/>
      <w:r>
        <w:rPr>
          <w:rFonts w:hint="default" w:ascii="Times New Roman" w:hAnsi="Times New Roman" w:eastAsia="楷体_GB2312" w:cs="Times New Roman"/>
          <w:b/>
          <w:sz w:val="32"/>
          <w:szCs w:val="32"/>
        </w:rPr>
        <w:t>（二）评价结论</w:t>
      </w:r>
      <w:bookmarkEnd w:id="17"/>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该项目资金绩效评价指标体系和绩效检查情况，我所绩效评价工作小组进行了综合评估，该项目整体绩效分值100分，因绩效管理意识不强，资金到位及使用率低，部分绩效目标未完成等原因扣15.84分，实得84.16分，评价等级为“良”。（具体评分情况见附件1）。</w:t>
      </w:r>
    </w:p>
    <w:p>
      <w:pPr>
        <w:pStyle w:val="2"/>
        <w:ind w:firstLine="643"/>
        <w:rPr>
          <w:rFonts w:hint="default" w:ascii="Times New Roman" w:hAnsi="Times New Roman" w:cs="Times New Roman"/>
          <w:b/>
          <w:bCs/>
        </w:rPr>
      </w:pPr>
      <w:bookmarkStart w:id="18" w:name="_Toc146720249"/>
      <w:r>
        <w:rPr>
          <w:rFonts w:hint="default" w:ascii="Times New Roman" w:hAnsi="Times New Roman" w:cs="Times New Roman"/>
          <w:b/>
          <w:bCs/>
        </w:rPr>
        <w:t>四、绩效评价指标分析</w:t>
      </w:r>
      <w:bookmarkEnd w:id="18"/>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一级指标</w:t>
            </w:r>
          </w:p>
        </w:tc>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权重</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分值</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决策</w:t>
            </w:r>
          </w:p>
        </w:tc>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22</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17</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77.27%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过程</w:t>
            </w:r>
          </w:p>
        </w:tc>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18</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10.39</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57.72%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产出</w:t>
            </w:r>
          </w:p>
        </w:tc>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35</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31.77</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90.77%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效益</w:t>
            </w:r>
          </w:p>
        </w:tc>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仿宋_GB2312" w:cs="Times New Roman"/>
              </w:rPr>
              <w:t>25</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25</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rPr>
            </w:pPr>
            <w:r>
              <w:rPr>
                <w:rFonts w:hint="default" w:ascii="Times New Roman" w:hAnsi="Times New Roman" w:eastAsia="等线" w:cs="Times New Roman"/>
                <w:color w:val="00000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合计</w:t>
            </w:r>
          </w:p>
        </w:tc>
        <w:tc>
          <w:tcPr>
            <w:tcW w:w="2130"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b/>
                <w:bCs/>
              </w:rPr>
            </w:pPr>
            <w:r>
              <w:rPr>
                <w:rFonts w:hint="default" w:ascii="Times New Roman" w:hAnsi="Times New Roman" w:eastAsia="仿宋_GB2312" w:cs="Times New Roman"/>
                <w:b/>
                <w:bCs/>
              </w:rPr>
              <w:t>100</w:t>
            </w:r>
          </w:p>
        </w:tc>
        <w:tc>
          <w:tcPr>
            <w:tcW w:w="2131" w:type="dxa"/>
            <w:shd w:val="clear" w:color="auto" w:fill="auto"/>
            <w:vAlign w:val="center"/>
          </w:tcPr>
          <w:p>
            <w:pPr>
              <w:widowControl/>
              <w:adjustRightInd w:val="0"/>
              <w:snapToGrid w:val="0"/>
              <w:spacing w:line="240" w:lineRule="atLeast"/>
              <w:jc w:val="center"/>
              <w:rPr>
                <w:rFonts w:hint="default" w:ascii="Times New Roman" w:hAnsi="Times New Roman" w:eastAsia="等线" w:cs="Times New Roman"/>
                <w:b/>
                <w:bCs/>
                <w:color w:val="000000"/>
                <w:kern w:val="0"/>
              </w:rPr>
            </w:pPr>
            <w:r>
              <w:rPr>
                <w:rFonts w:hint="default" w:ascii="Times New Roman" w:hAnsi="Times New Roman" w:eastAsia="等线" w:cs="Times New Roman"/>
                <w:b/>
                <w:bCs/>
                <w:color w:val="000000"/>
              </w:rPr>
              <w:t>84.16</w:t>
            </w:r>
          </w:p>
        </w:tc>
        <w:tc>
          <w:tcPr>
            <w:tcW w:w="2131" w:type="dxa"/>
            <w:shd w:val="clear" w:color="auto" w:fill="auto"/>
            <w:vAlign w:val="center"/>
          </w:tcPr>
          <w:p>
            <w:pPr>
              <w:adjustRightInd w:val="0"/>
              <w:snapToGrid w:val="0"/>
              <w:spacing w:line="240" w:lineRule="atLeast"/>
              <w:jc w:val="center"/>
              <w:rPr>
                <w:rFonts w:hint="default" w:ascii="Times New Roman" w:hAnsi="Times New Roman" w:eastAsia="仿宋_GB2312" w:cs="Times New Roman"/>
                <w:b/>
                <w:bCs/>
              </w:rPr>
            </w:pPr>
            <w:r>
              <w:rPr>
                <w:rFonts w:hint="default" w:ascii="Times New Roman" w:hAnsi="Times New Roman" w:eastAsia="等线" w:cs="Times New Roman"/>
                <w:b/>
                <w:bCs/>
                <w:color w:val="000000"/>
              </w:rPr>
              <w:t>84.16%</w:t>
            </w:r>
          </w:p>
        </w:tc>
      </w:tr>
    </w:tbl>
    <w:p>
      <w:pPr>
        <w:pStyle w:val="3"/>
        <w:ind w:firstLine="643"/>
        <w:rPr>
          <w:rFonts w:hint="default" w:ascii="Times New Roman" w:hAnsi="Times New Roman" w:cs="Times New Roman"/>
          <w:bCs/>
        </w:rPr>
      </w:pPr>
      <w:bookmarkStart w:id="19" w:name="_Toc146720250"/>
      <w:r>
        <w:rPr>
          <w:rFonts w:hint="default" w:ascii="Times New Roman" w:hAnsi="Times New Roman" w:cs="Times New Roman"/>
          <w:bCs/>
        </w:rPr>
        <w:t>（一）项目决策情况</w:t>
      </w:r>
      <w:bookmarkEnd w:id="19"/>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决策指标总分（22分）。评价得分17分，扣5分。扣分原因：所有项目均未提供绩效目标申报表，无法考核绩效目标合理性、绩效指标明确性，扣5分。</w:t>
      </w:r>
    </w:p>
    <w:p>
      <w:pPr>
        <w:pStyle w:val="3"/>
        <w:ind w:firstLine="643"/>
        <w:rPr>
          <w:rFonts w:hint="default" w:ascii="Times New Roman" w:hAnsi="Times New Roman" w:cs="Times New Roman"/>
          <w:bCs/>
        </w:rPr>
      </w:pPr>
      <w:bookmarkStart w:id="20" w:name="_Toc146720251"/>
      <w:r>
        <w:rPr>
          <w:rFonts w:hint="default" w:ascii="Times New Roman" w:hAnsi="Times New Roman" w:cs="Times New Roman"/>
          <w:bCs/>
        </w:rPr>
        <w:t>（二）项目过程情况</w:t>
      </w:r>
      <w:bookmarkEnd w:id="20"/>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过程指标总分（18分）。评价得分10.39分，扣7.61分。扣分原因：项目资金3175.96万元，实际到位2928.40万元，资金到位率92.21%，扣3.12分；资金到位2928.40万元，实际使用2783.24万元，资金使用率95.04%，扣1.49分；经查看单位资金使用情况，发现2022年农村厕改项目，市乡村振兴局局本级31.13万元有用于支付植树造林管护费、事业编制招聘录用等费用，大祥区农业农村局将人居环境先进个人奖励资金0.16万元用于公共经费，不符合项目预算用途，存在挤占支出现象，扣3分；</w:t>
      </w:r>
    </w:p>
    <w:p>
      <w:pPr>
        <w:pStyle w:val="3"/>
        <w:ind w:firstLine="643"/>
        <w:rPr>
          <w:rFonts w:hint="default" w:ascii="Times New Roman" w:hAnsi="Times New Roman" w:cs="Times New Roman"/>
          <w:bCs/>
        </w:rPr>
      </w:pPr>
      <w:bookmarkStart w:id="21" w:name="_Toc146720252"/>
      <w:r>
        <w:rPr>
          <w:rFonts w:hint="default" w:ascii="Times New Roman" w:hAnsi="Times New Roman" w:cs="Times New Roman"/>
          <w:bCs/>
        </w:rPr>
        <w:t>（三）项目产出情况</w:t>
      </w:r>
      <w:bookmarkEnd w:id="21"/>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产出指标总分（35分）。评价得分31.77分，扣3.23分。扣分原因：</w:t>
      </w:r>
      <w:r>
        <w:rPr>
          <w:rFonts w:hint="default" w:ascii="Times New Roman" w:hAnsi="Times New Roman" w:eastAsia="仿宋_GB2312" w:cs="Times New Roman"/>
          <w:b/>
          <w:bCs/>
          <w:sz w:val="32"/>
          <w:szCs w:val="32"/>
        </w:rPr>
        <w:t>农村厕改方面</w:t>
      </w:r>
      <w:r>
        <w:rPr>
          <w:rFonts w:hint="default" w:ascii="Times New Roman" w:hAnsi="Times New Roman" w:eastAsia="仿宋_GB2312" w:cs="Times New Roman"/>
          <w:sz w:val="32"/>
          <w:szCs w:val="32"/>
        </w:rPr>
        <w:t>计划完成128015个户厕，实际完成125715个户厕，完成率98.20%，扣0.07分；</w:t>
      </w:r>
    </w:p>
    <w:p>
      <w:pPr>
        <w:adjustRightInd w:val="0"/>
        <w:snapToGrid w:val="0"/>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美丽乡村方面</w:t>
      </w:r>
      <w:r>
        <w:rPr>
          <w:rFonts w:hint="default" w:ascii="Times New Roman" w:hAnsi="Times New Roman" w:eastAsia="仿宋_GB2312" w:cs="Times New Roman"/>
          <w:sz w:val="32"/>
          <w:szCs w:val="32"/>
        </w:rPr>
        <w:t>计划奖励31个村，实际奖励24个村，完成率77.42%。扣0.45分；</w:t>
      </w:r>
    </w:p>
    <w:p>
      <w:pPr>
        <w:adjustRightInd w:val="0"/>
        <w:snapToGrid w:val="0"/>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人居环境方面</w:t>
      </w:r>
      <w:r>
        <w:rPr>
          <w:rFonts w:hint="default" w:ascii="Times New Roman" w:hAnsi="Times New Roman" w:eastAsia="仿宋_GB2312" w:cs="Times New Roman"/>
          <w:sz w:val="32"/>
          <w:szCs w:val="32"/>
        </w:rPr>
        <w:t>计划完成67个乡镇奖励，实际完成62个乡镇奖励，完成率92.54%，扣0.15分；计划完成109个先进村，实际完成98个先进村，完成率89.91%，扣0.2分；计划完成96个先进个人奖励，实际完成88个先进个人奖励，完成率91.67%，扣0.17分；</w:t>
      </w:r>
    </w:p>
    <w:p>
      <w:pPr>
        <w:adjustRightInd w:val="0"/>
        <w:snapToGrid w:val="0"/>
        <w:spacing w:line="60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油茶救灾方面</w:t>
      </w:r>
      <w:r>
        <w:rPr>
          <w:rFonts w:hint="default" w:ascii="Times New Roman" w:hAnsi="Times New Roman" w:eastAsia="仿宋_GB2312" w:cs="Times New Roman"/>
          <w:sz w:val="32"/>
          <w:szCs w:val="32"/>
        </w:rPr>
        <w:t>实际完成38家油茶受灾企业及大户补助，完成率为80.85%，扣0.19分。</w:t>
      </w:r>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同时发现农业农村局省级美丽乡村奖励资金，只有奖补名单，缺少市一级评分和县市区部分年份的推荐资料，存在资料不齐全未及时归档现象，酌情扣0.2分；发现市农业农村局人居环境整治奖励，只有奖补名单，缺少市一级评分和县市区部分年份的推荐资料，存在资料不齐全未及时归档现象，酌情扣0.3分；2022年人居环境先进乡镇存在未奖补到位情况，扣1分；油茶救灾资金邵阳县、新宁县和大祥区存在未补助到位情况，同时存在2023年8月才补助到位的情况，扣1分。</w:t>
      </w:r>
    </w:p>
    <w:p>
      <w:pPr>
        <w:pStyle w:val="3"/>
        <w:ind w:firstLine="643"/>
        <w:rPr>
          <w:rFonts w:hint="default" w:ascii="Times New Roman" w:hAnsi="Times New Roman" w:cs="Times New Roman"/>
          <w:bCs/>
        </w:rPr>
      </w:pPr>
      <w:bookmarkStart w:id="22" w:name="_Toc146720253"/>
      <w:r>
        <w:rPr>
          <w:rFonts w:hint="default" w:ascii="Times New Roman" w:hAnsi="Times New Roman" w:cs="Times New Roman"/>
          <w:bCs/>
        </w:rPr>
        <w:t>（四）项目效益情况</w:t>
      </w:r>
      <w:bookmarkEnd w:id="22"/>
    </w:p>
    <w:p>
      <w:pPr>
        <w:adjustRightInd w:val="0"/>
        <w:snapToGrid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效益指标总分（25分）。评价得分25分，无扣分。</w:t>
      </w:r>
    </w:p>
    <w:p>
      <w:pPr>
        <w:pStyle w:val="2"/>
        <w:ind w:firstLine="643"/>
        <w:rPr>
          <w:rFonts w:hint="default" w:ascii="Times New Roman" w:hAnsi="Times New Roman" w:cs="Times New Roman"/>
          <w:b/>
          <w:bCs/>
        </w:rPr>
      </w:pPr>
      <w:bookmarkStart w:id="23" w:name="_Toc16192"/>
      <w:bookmarkEnd w:id="23"/>
      <w:bookmarkStart w:id="24" w:name="_Toc146720254"/>
      <w:r>
        <w:rPr>
          <w:rFonts w:hint="default" w:ascii="Times New Roman" w:hAnsi="Times New Roman" w:cs="Times New Roman"/>
          <w:b/>
          <w:bCs/>
        </w:rPr>
        <w:t>五、存在的主要问题</w:t>
      </w:r>
      <w:bookmarkEnd w:id="24"/>
    </w:p>
    <w:p>
      <w:pPr>
        <w:pStyle w:val="3"/>
        <w:ind w:firstLine="643"/>
        <w:rPr>
          <w:rFonts w:hint="default" w:ascii="Times New Roman" w:hAnsi="Times New Roman" w:cs="Times New Roman"/>
          <w:bCs/>
        </w:rPr>
      </w:pPr>
      <w:bookmarkStart w:id="25" w:name="_Toc146720255"/>
      <w:r>
        <w:rPr>
          <w:rFonts w:hint="default" w:ascii="Times New Roman" w:hAnsi="Times New Roman" w:cs="Times New Roman"/>
          <w:bCs/>
        </w:rPr>
        <w:t>（一）项目决策方面</w:t>
      </w:r>
      <w:bookmarkEnd w:id="25"/>
    </w:p>
    <w:p>
      <w:pPr>
        <w:autoSpaceDE w:val="0"/>
        <w:spacing w:line="580" w:lineRule="exact"/>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未填写绩效目标申报表。</w:t>
      </w:r>
      <w:r>
        <w:rPr>
          <w:rFonts w:hint="default" w:ascii="Times New Roman" w:hAnsi="Times New Roman" w:eastAsia="仿宋" w:cs="Times New Roman"/>
          <w:sz w:val="32"/>
          <w:szCs w:val="32"/>
        </w:rPr>
        <w:t>经现场收集并查看资料，发现市农业农村局、市乡村振兴局和市林业局均未提交绩效目标申报表，无法核实其绩效目标设定是否清晰明确、科学合理。</w:t>
      </w:r>
    </w:p>
    <w:p>
      <w:pPr>
        <w:autoSpaceDE w:val="0"/>
        <w:spacing w:line="58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上述行为不符合《湖南省预算绩效目标管理办法》第八条“按照“谁申请资金，谁编制目标”的原则，绩效目标由预算部门申报预算和项目实施单位申请预算资金时填报。执行中申请调整预算的，应当随调整预算一并上报调整的绩效目标。”的规定。</w:t>
      </w:r>
    </w:p>
    <w:p>
      <w:pPr>
        <w:pStyle w:val="3"/>
        <w:ind w:firstLine="643"/>
        <w:rPr>
          <w:rFonts w:hint="default" w:ascii="Times New Roman" w:hAnsi="Times New Roman" w:cs="Times New Roman"/>
          <w:bCs/>
        </w:rPr>
      </w:pPr>
      <w:bookmarkStart w:id="26" w:name="_Toc146720256"/>
      <w:r>
        <w:rPr>
          <w:rFonts w:hint="default" w:ascii="Times New Roman" w:hAnsi="Times New Roman" w:cs="Times New Roman"/>
          <w:bCs/>
        </w:rPr>
        <w:t>（二）项目过程方面</w:t>
      </w:r>
      <w:bookmarkEnd w:id="26"/>
    </w:p>
    <w:p>
      <w:pPr>
        <w:autoSpaceDE w:val="0"/>
        <w:spacing w:line="580" w:lineRule="exact"/>
        <w:ind w:firstLine="643" w:firstLineChars="20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1、资金使用率低</w:t>
      </w:r>
    </w:p>
    <w:p>
      <w:pPr>
        <w:autoSpaceDE w:val="0"/>
        <w:spacing w:line="58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经查看各项目资金拨付及使用情况，发现农村厕改项目人居环境、美丽乡村和2022年油茶救灾资金未使用完，其中农村厕改少使用15万元。人居环境少使用50.16万元。美丽乡村少资助20万元，油茶救灾资金少资助60万元。整体少资助145.16万元，资金使用率为95.04%。</w:t>
      </w:r>
    </w:p>
    <w:p>
      <w:pPr>
        <w:autoSpaceDE w:val="0"/>
        <w:spacing w:line="580" w:lineRule="exact"/>
        <w:ind w:firstLine="643" w:firstLineChars="200"/>
        <w:rPr>
          <w:rFonts w:hint="default" w:ascii="Times New Roman" w:hAnsi="Times New Roman" w:eastAsia="仿宋" w:cs="Times New Roman"/>
          <w:b/>
          <w:bCs/>
          <w:sz w:val="32"/>
          <w:szCs w:val="32"/>
          <w:lang w:eastAsia="zh-Hans"/>
        </w:rPr>
      </w:pPr>
      <w:r>
        <w:rPr>
          <w:rFonts w:hint="default" w:ascii="Times New Roman" w:hAnsi="Times New Roman" w:eastAsia="仿宋" w:cs="Times New Roman"/>
          <w:b/>
          <w:bCs/>
          <w:sz w:val="32"/>
          <w:szCs w:val="32"/>
        </w:rPr>
        <w:t>2、</w:t>
      </w:r>
      <w:r>
        <w:rPr>
          <w:rFonts w:hint="default" w:ascii="Times New Roman" w:hAnsi="Times New Roman" w:eastAsia="仿宋" w:cs="Times New Roman"/>
          <w:b/>
          <w:bCs/>
          <w:sz w:val="32"/>
          <w:szCs w:val="32"/>
          <w:lang w:eastAsia="zh-Hans"/>
        </w:rPr>
        <w:t>挤占专项资金</w:t>
      </w:r>
    </w:p>
    <w:p>
      <w:pPr>
        <w:autoSpaceDE w:val="0"/>
        <w:spacing w:line="58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经查看单位资金使用情况，发现2022年农村厕改项目，市乡村振兴局局本级31.13万元有用于支付植树造林管护费3.59万元，支付事业编制招聘录用考试费5.14万元，支付在电视台播放新春贺词宣传费3万元等，大祥区农业农村局将人居环境先进个人奖励资金0.16万元用于公共经费，不符合项目预算用途，存在挤占支出现象。</w:t>
      </w:r>
    </w:p>
    <w:p>
      <w:pPr>
        <w:pStyle w:val="3"/>
        <w:ind w:firstLine="643"/>
        <w:rPr>
          <w:rFonts w:hint="default" w:ascii="Times New Roman" w:hAnsi="Times New Roman" w:cs="Times New Roman"/>
          <w:bCs/>
        </w:rPr>
      </w:pPr>
      <w:bookmarkStart w:id="27" w:name="_Toc146720257"/>
      <w:r>
        <w:rPr>
          <w:rFonts w:hint="default" w:ascii="Times New Roman" w:hAnsi="Times New Roman" w:cs="Times New Roman"/>
          <w:bCs/>
        </w:rPr>
        <w:t>（三）项目产出方面</w:t>
      </w:r>
      <w:bookmarkEnd w:id="27"/>
    </w:p>
    <w:p>
      <w:pPr>
        <w:autoSpaceDE w:val="0"/>
        <w:spacing w:line="580" w:lineRule="exact"/>
        <w:ind w:firstLine="643" w:firstLineChars="20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1、项目产出未达目标</w:t>
      </w:r>
    </w:p>
    <w:p>
      <w:pPr>
        <w:autoSpaceDE w:val="0"/>
        <w:spacing w:line="580" w:lineRule="exact"/>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一是农村改厕奖补方面</w:t>
      </w:r>
      <w:bookmarkStart w:id="28" w:name="_Hlk144179915"/>
      <w:r>
        <w:rPr>
          <w:rFonts w:hint="default" w:ascii="Times New Roman" w:hAnsi="Times New Roman" w:eastAsia="仿宋" w:cs="Times New Roman"/>
          <w:sz w:val="32"/>
          <w:szCs w:val="32"/>
        </w:rPr>
        <w:t>计划完成128015个户厕，实际完成125715个户厕，完成率98.20%</w:t>
      </w:r>
      <w:bookmarkEnd w:id="28"/>
      <w:r>
        <w:rPr>
          <w:rFonts w:hint="default" w:ascii="Times New Roman" w:hAnsi="Times New Roman" w:eastAsia="仿宋" w:cs="Times New Roman"/>
          <w:sz w:val="32"/>
          <w:szCs w:val="32"/>
        </w:rPr>
        <w:t>；</w:t>
      </w:r>
      <w:r>
        <w:rPr>
          <w:rFonts w:hint="default" w:ascii="Times New Roman" w:hAnsi="Times New Roman" w:eastAsia="仿宋" w:cs="Times New Roman"/>
          <w:b/>
          <w:bCs/>
          <w:sz w:val="32"/>
          <w:szCs w:val="32"/>
        </w:rPr>
        <w:t>二是美丽乡村方面</w:t>
      </w:r>
      <w:r>
        <w:rPr>
          <w:rFonts w:hint="default" w:ascii="Times New Roman" w:hAnsi="Times New Roman" w:eastAsia="仿宋" w:cs="Times New Roman"/>
          <w:sz w:val="32"/>
          <w:szCs w:val="32"/>
        </w:rPr>
        <w:t>，计划奖励31个村，实际奖励24个村，完成率77.42%；</w:t>
      </w:r>
      <w:r>
        <w:rPr>
          <w:rFonts w:hint="default" w:ascii="Times New Roman" w:hAnsi="Times New Roman" w:eastAsia="仿宋" w:cs="Times New Roman"/>
          <w:b/>
          <w:bCs/>
          <w:sz w:val="32"/>
          <w:szCs w:val="32"/>
        </w:rPr>
        <w:t>三是人居环境奖励资金</w:t>
      </w:r>
      <w:r>
        <w:rPr>
          <w:rFonts w:hint="default" w:ascii="Times New Roman" w:hAnsi="Times New Roman" w:eastAsia="仿宋" w:cs="Times New Roman"/>
          <w:sz w:val="32"/>
          <w:szCs w:val="32"/>
        </w:rPr>
        <w:t>，计划完成67个乡镇奖励，实际完成62个乡镇奖励，完成率92.54%；计划完成109个先进村，实际完成98个先进村，完成率89.91%；计划完成96个先进个人奖励，实际完成88个先进个人奖励，完成率91.67%。</w:t>
      </w:r>
      <w:r>
        <w:rPr>
          <w:rFonts w:hint="default" w:ascii="Times New Roman" w:hAnsi="Times New Roman" w:eastAsia="仿宋" w:cs="Times New Roman"/>
          <w:b/>
          <w:bCs/>
          <w:sz w:val="32"/>
          <w:szCs w:val="32"/>
        </w:rPr>
        <w:t>四是油茶受灾补助方面</w:t>
      </w:r>
      <w:r>
        <w:rPr>
          <w:rFonts w:hint="default" w:ascii="Times New Roman" w:hAnsi="Times New Roman" w:eastAsia="仿宋" w:cs="Times New Roman"/>
          <w:sz w:val="32"/>
          <w:szCs w:val="32"/>
        </w:rPr>
        <w:t>，应补助47家受灾企业和大户，实际完成38家油茶受灾企业及大户补助，完成率为80.85%。</w:t>
      </w:r>
    </w:p>
    <w:p>
      <w:pPr>
        <w:autoSpaceDE w:val="0"/>
        <w:spacing w:line="580" w:lineRule="exact"/>
        <w:ind w:firstLine="643" w:firstLineChars="20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2、奖补资金到位不及时</w:t>
      </w:r>
    </w:p>
    <w:p>
      <w:pPr>
        <w:autoSpaceDE w:val="0"/>
        <w:spacing w:line="58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2022年油茶救灾补助资金方面，邵阳县、新宁县和大祥区存在未补助到位情况，同时存在邵阳县林业局2023年7月30日申请拨付资金，大祥区林业局2023年8月才补助到位的情况。</w:t>
      </w:r>
    </w:p>
    <w:p>
      <w:pPr>
        <w:pStyle w:val="2"/>
        <w:ind w:firstLine="643"/>
        <w:rPr>
          <w:rFonts w:hint="default" w:ascii="Times New Roman" w:hAnsi="Times New Roman" w:cs="Times New Roman"/>
          <w:b/>
          <w:bCs/>
        </w:rPr>
      </w:pPr>
      <w:bookmarkStart w:id="29" w:name="_Toc21632"/>
      <w:bookmarkEnd w:id="29"/>
      <w:bookmarkStart w:id="30" w:name="_Toc146720258"/>
      <w:r>
        <w:rPr>
          <w:rFonts w:hint="default" w:ascii="Times New Roman" w:hAnsi="Times New Roman" w:cs="Times New Roman"/>
          <w:b/>
          <w:bCs/>
        </w:rPr>
        <w:t>六、相关建议</w:t>
      </w:r>
      <w:bookmarkEnd w:id="30"/>
    </w:p>
    <w:p>
      <w:pPr>
        <w:pStyle w:val="3"/>
        <w:ind w:firstLine="643"/>
        <w:rPr>
          <w:rFonts w:hint="default" w:ascii="Times New Roman" w:hAnsi="Times New Roman" w:eastAsia="黑体" w:cs="Times New Roman"/>
        </w:rPr>
      </w:pPr>
      <w:bookmarkStart w:id="31" w:name="_Toc146720259"/>
      <w:bookmarkStart w:id="32" w:name="_Toc11958"/>
      <w:r>
        <w:rPr>
          <w:rFonts w:hint="default" w:ascii="Times New Roman" w:hAnsi="Times New Roman" w:cs="Times New Roman"/>
        </w:rPr>
        <w:t>（一）提高项目预算、绩效管理意识</w:t>
      </w:r>
      <w:bookmarkEnd w:id="31"/>
      <w:bookmarkEnd w:id="32"/>
    </w:p>
    <w:p>
      <w:pPr>
        <w:spacing w:line="580" w:lineRule="exact"/>
        <w:ind w:firstLine="632" w:firstLineChars="200"/>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被评价单位应严格按照预算法及其他相关规定，建立健全全过程预算绩效管理机制；细化项目预算，提出预算分配建议方案；结合项目具体内容、预算情况、实施条件以及项目特点，编制有针对性的绩效目标和指标，将整体的绩效目标细化、分解为清晰、可衡量的绩效指标，使项目绩效考核有据可依；加强绩效运行跟踪监控，提高资金执行率，确保奖补资金及时拨付到位。</w:t>
      </w:r>
    </w:p>
    <w:p>
      <w:pPr>
        <w:pStyle w:val="3"/>
        <w:ind w:firstLine="643"/>
        <w:rPr>
          <w:rFonts w:hint="default" w:ascii="Times New Roman" w:hAnsi="Times New Roman" w:cs="Times New Roman"/>
          <w:bCs/>
        </w:rPr>
      </w:pPr>
      <w:bookmarkStart w:id="33" w:name="_Toc146720260"/>
      <w:r>
        <w:rPr>
          <w:rFonts w:hint="default" w:ascii="Times New Roman" w:hAnsi="Times New Roman" w:cs="Times New Roman"/>
          <w:bCs/>
        </w:rPr>
        <w:t>（二）加强资金和项目管理</w:t>
      </w:r>
      <w:bookmarkEnd w:id="33"/>
    </w:p>
    <w:p>
      <w:pPr>
        <w:ind w:firstLine="640"/>
        <w:rPr>
          <w:rFonts w:hint="default" w:ascii="Times New Roman" w:hAnsi="Times New Roman" w:eastAsia="仿宋_GB2312" w:cs="Times New Roman"/>
          <w:spacing w:val="-2"/>
          <w:sz w:val="32"/>
          <w:szCs w:val="32"/>
        </w:rPr>
      </w:pPr>
      <w:r>
        <w:rPr>
          <w:rFonts w:hint="default" w:ascii="Times New Roman" w:hAnsi="Times New Roman" w:eastAsia="仿宋_GB2312" w:cs="Times New Roman"/>
          <w:spacing w:val="-2"/>
          <w:sz w:val="32"/>
          <w:szCs w:val="32"/>
        </w:rPr>
        <w:t>一方面应建立健全项目和资金管理制度，为项目实施、资金使用管理提供依据；二是应加强资金支出管理，规范资金审批流程，应拒绝支付不符合项目预算方向的支出，保证专款专用；三是应加强项目管理，实时监控项目实施进度，及时收集归档项目实施过程资料，对于难以完成目标的项目应调查摸清原因，及时提出整改方案，以保证项目能够按时按量完成；四是对于挤占挪用的资金，应调整账目并限期追回挤占挪用的专项资金。</w:t>
      </w:r>
    </w:p>
    <w:p>
      <w:pPr>
        <w:tabs>
          <w:tab w:val="left" w:pos="3555"/>
        </w:tabs>
        <w:rPr>
          <w:rFonts w:hint="default" w:ascii="Times New Roman" w:hAnsi="Times New Roman" w:cs="Times New Roman"/>
        </w:rPr>
      </w:pPr>
      <w:bookmarkStart w:id="34" w:name="_Toc4476"/>
      <w:bookmarkEnd w:id="34"/>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yMjZhYWNjMGI5ZWMxZGYyOWIwMzYyNzQ0ZmQ0YTUifQ=="/>
  </w:docVars>
  <w:rsids>
    <w:rsidRoot w:val="002B6232"/>
    <w:rsid w:val="00010F70"/>
    <w:rsid w:val="00036CB4"/>
    <w:rsid w:val="00052396"/>
    <w:rsid w:val="000755F1"/>
    <w:rsid w:val="00084267"/>
    <w:rsid w:val="000924D5"/>
    <w:rsid w:val="00095F76"/>
    <w:rsid w:val="000B48D6"/>
    <w:rsid w:val="000D60ED"/>
    <w:rsid w:val="000E37F6"/>
    <w:rsid w:val="000F1F88"/>
    <w:rsid w:val="00122CD6"/>
    <w:rsid w:val="00124841"/>
    <w:rsid w:val="0012790C"/>
    <w:rsid w:val="001314A8"/>
    <w:rsid w:val="00131C59"/>
    <w:rsid w:val="00143F99"/>
    <w:rsid w:val="001453D2"/>
    <w:rsid w:val="00157619"/>
    <w:rsid w:val="001620DA"/>
    <w:rsid w:val="001668CC"/>
    <w:rsid w:val="00173F5B"/>
    <w:rsid w:val="001E28AB"/>
    <w:rsid w:val="001E4495"/>
    <w:rsid w:val="00237A9B"/>
    <w:rsid w:val="0024128C"/>
    <w:rsid w:val="00254C0C"/>
    <w:rsid w:val="002700CE"/>
    <w:rsid w:val="00276D34"/>
    <w:rsid w:val="002957FA"/>
    <w:rsid w:val="002B093A"/>
    <w:rsid w:val="002B4512"/>
    <w:rsid w:val="002B6232"/>
    <w:rsid w:val="002D7BC7"/>
    <w:rsid w:val="002E7FB3"/>
    <w:rsid w:val="0031402E"/>
    <w:rsid w:val="003303D1"/>
    <w:rsid w:val="00340F19"/>
    <w:rsid w:val="00346FD4"/>
    <w:rsid w:val="003541F9"/>
    <w:rsid w:val="00356174"/>
    <w:rsid w:val="00357016"/>
    <w:rsid w:val="00364417"/>
    <w:rsid w:val="003E7AD4"/>
    <w:rsid w:val="00407B75"/>
    <w:rsid w:val="00412FC6"/>
    <w:rsid w:val="00441225"/>
    <w:rsid w:val="00447833"/>
    <w:rsid w:val="00457E0B"/>
    <w:rsid w:val="00490CEF"/>
    <w:rsid w:val="004A0D30"/>
    <w:rsid w:val="004D60DE"/>
    <w:rsid w:val="004F64CE"/>
    <w:rsid w:val="00506D8E"/>
    <w:rsid w:val="005076BA"/>
    <w:rsid w:val="00517944"/>
    <w:rsid w:val="00546A66"/>
    <w:rsid w:val="005A49EE"/>
    <w:rsid w:val="005C66E8"/>
    <w:rsid w:val="005E5C7A"/>
    <w:rsid w:val="00620CE1"/>
    <w:rsid w:val="006345BF"/>
    <w:rsid w:val="00646A32"/>
    <w:rsid w:val="0066565A"/>
    <w:rsid w:val="00674681"/>
    <w:rsid w:val="006875F6"/>
    <w:rsid w:val="006B166A"/>
    <w:rsid w:val="006B349C"/>
    <w:rsid w:val="006C7C7A"/>
    <w:rsid w:val="006D2B05"/>
    <w:rsid w:val="00710E45"/>
    <w:rsid w:val="007242AE"/>
    <w:rsid w:val="00727DFD"/>
    <w:rsid w:val="0073031D"/>
    <w:rsid w:val="007478E0"/>
    <w:rsid w:val="007615AF"/>
    <w:rsid w:val="00766431"/>
    <w:rsid w:val="00793426"/>
    <w:rsid w:val="0079689D"/>
    <w:rsid w:val="007C2A54"/>
    <w:rsid w:val="007D3DEC"/>
    <w:rsid w:val="00802D9D"/>
    <w:rsid w:val="00810E83"/>
    <w:rsid w:val="00820CF3"/>
    <w:rsid w:val="0082166F"/>
    <w:rsid w:val="00823279"/>
    <w:rsid w:val="00832E15"/>
    <w:rsid w:val="0083469F"/>
    <w:rsid w:val="00834DB1"/>
    <w:rsid w:val="00856E82"/>
    <w:rsid w:val="008D1AE9"/>
    <w:rsid w:val="008D6ED5"/>
    <w:rsid w:val="008F01D1"/>
    <w:rsid w:val="00903F4A"/>
    <w:rsid w:val="0090572A"/>
    <w:rsid w:val="009108A4"/>
    <w:rsid w:val="009141CC"/>
    <w:rsid w:val="00947318"/>
    <w:rsid w:val="0094743E"/>
    <w:rsid w:val="00951A02"/>
    <w:rsid w:val="00956F9E"/>
    <w:rsid w:val="009627AB"/>
    <w:rsid w:val="009740B3"/>
    <w:rsid w:val="009816C1"/>
    <w:rsid w:val="0098781C"/>
    <w:rsid w:val="009A7557"/>
    <w:rsid w:val="009C5226"/>
    <w:rsid w:val="009D09E4"/>
    <w:rsid w:val="009D4F4E"/>
    <w:rsid w:val="009F1D99"/>
    <w:rsid w:val="009F2940"/>
    <w:rsid w:val="00A06419"/>
    <w:rsid w:val="00A06E98"/>
    <w:rsid w:val="00A120E2"/>
    <w:rsid w:val="00A3400E"/>
    <w:rsid w:val="00A56B81"/>
    <w:rsid w:val="00A70A4D"/>
    <w:rsid w:val="00A762D8"/>
    <w:rsid w:val="00A80C8B"/>
    <w:rsid w:val="00A82F46"/>
    <w:rsid w:val="00A87C31"/>
    <w:rsid w:val="00AA122B"/>
    <w:rsid w:val="00AA5E73"/>
    <w:rsid w:val="00AC1B95"/>
    <w:rsid w:val="00AD0BDC"/>
    <w:rsid w:val="00AD2B80"/>
    <w:rsid w:val="00AE4F3C"/>
    <w:rsid w:val="00AF1787"/>
    <w:rsid w:val="00AF5E54"/>
    <w:rsid w:val="00B174F4"/>
    <w:rsid w:val="00B43508"/>
    <w:rsid w:val="00B46BC9"/>
    <w:rsid w:val="00B50A36"/>
    <w:rsid w:val="00B75EF2"/>
    <w:rsid w:val="00B9055C"/>
    <w:rsid w:val="00BB1995"/>
    <w:rsid w:val="00BC03D6"/>
    <w:rsid w:val="00BC441C"/>
    <w:rsid w:val="00BD1128"/>
    <w:rsid w:val="00BD33BB"/>
    <w:rsid w:val="00BE5F07"/>
    <w:rsid w:val="00BF68CB"/>
    <w:rsid w:val="00BF6D78"/>
    <w:rsid w:val="00C129D1"/>
    <w:rsid w:val="00C35254"/>
    <w:rsid w:val="00C40147"/>
    <w:rsid w:val="00C40767"/>
    <w:rsid w:val="00C46816"/>
    <w:rsid w:val="00C54236"/>
    <w:rsid w:val="00C71C0C"/>
    <w:rsid w:val="00CC07D2"/>
    <w:rsid w:val="00CD0064"/>
    <w:rsid w:val="00CE02D0"/>
    <w:rsid w:val="00D071DE"/>
    <w:rsid w:val="00D167C1"/>
    <w:rsid w:val="00D331F2"/>
    <w:rsid w:val="00D36D59"/>
    <w:rsid w:val="00D4014B"/>
    <w:rsid w:val="00D85E21"/>
    <w:rsid w:val="00DA504B"/>
    <w:rsid w:val="00DA634D"/>
    <w:rsid w:val="00DB3A0A"/>
    <w:rsid w:val="00DD5B02"/>
    <w:rsid w:val="00DE0687"/>
    <w:rsid w:val="00DE51D0"/>
    <w:rsid w:val="00DE6A4D"/>
    <w:rsid w:val="00E0333B"/>
    <w:rsid w:val="00E05B02"/>
    <w:rsid w:val="00E0749F"/>
    <w:rsid w:val="00E2620E"/>
    <w:rsid w:val="00E337F0"/>
    <w:rsid w:val="00E375DB"/>
    <w:rsid w:val="00E43A40"/>
    <w:rsid w:val="00E520A2"/>
    <w:rsid w:val="00E539D0"/>
    <w:rsid w:val="00E545CC"/>
    <w:rsid w:val="00E743FA"/>
    <w:rsid w:val="00E8353A"/>
    <w:rsid w:val="00EA1376"/>
    <w:rsid w:val="00EA4520"/>
    <w:rsid w:val="00EA7B53"/>
    <w:rsid w:val="00EB45C9"/>
    <w:rsid w:val="00EC2FB9"/>
    <w:rsid w:val="00EC661F"/>
    <w:rsid w:val="00EC7726"/>
    <w:rsid w:val="00ED1653"/>
    <w:rsid w:val="00ED2284"/>
    <w:rsid w:val="00ED360E"/>
    <w:rsid w:val="00EE4183"/>
    <w:rsid w:val="00EF5137"/>
    <w:rsid w:val="00EF729B"/>
    <w:rsid w:val="00F05A86"/>
    <w:rsid w:val="00F16A3E"/>
    <w:rsid w:val="00F23CDF"/>
    <w:rsid w:val="00F303BC"/>
    <w:rsid w:val="00F56EEA"/>
    <w:rsid w:val="00F618A9"/>
    <w:rsid w:val="00F74F54"/>
    <w:rsid w:val="00F926E4"/>
    <w:rsid w:val="00F97CCE"/>
    <w:rsid w:val="00FA1E08"/>
    <w:rsid w:val="00FB6399"/>
    <w:rsid w:val="00FC10A4"/>
    <w:rsid w:val="00FC1AB6"/>
    <w:rsid w:val="00FE5738"/>
    <w:rsid w:val="00FF5DD5"/>
    <w:rsid w:val="061E424C"/>
    <w:rsid w:val="07746A18"/>
    <w:rsid w:val="0B3F095E"/>
    <w:rsid w:val="0D9F6C5B"/>
    <w:rsid w:val="19A93FF8"/>
    <w:rsid w:val="2F4F4D78"/>
    <w:rsid w:val="383663CB"/>
    <w:rsid w:val="3BB856AB"/>
    <w:rsid w:val="4336296F"/>
    <w:rsid w:val="551F738B"/>
    <w:rsid w:val="5B7A403C"/>
    <w:rsid w:val="6210582A"/>
    <w:rsid w:val="6579676E"/>
    <w:rsid w:val="6AF00203"/>
    <w:rsid w:val="72A92734"/>
    <w:rsid w:val="73567143"/>
    <w:rsid w:val="73E12AC6"/>
    <w:rsid w:val="76141893"/>
    <w:rsid w:val="B3EF6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1"/>
    <w:qFormat/>
    <w:uiPriority w:val="99"/>
    <w:pPr>
      <w:keepNext/>
      <w:keepLines/>
      <w:spacing w:line="580" w:lineRule="exact"/>
      <w:ind w:firstLine="732" w:firstLineChars="200"/>
      <w:outlineLvl w:val="0"/>
    </w:pPr>
    <w:rPr>
      <w:rFonts w:eastAsia="黑体"/>
      <w:kern w:val="44"/>
      <w:sz w:val="32"/>
      <w:szCs w:val="32"/>
    </w:rPr>
  </w:style>
  <w:style w:type="paragraph" w:styleId="3">
    <w:name w:val="heading 2"/>
    <w:basedOn w:val="1"/>
    <w:next w:val="1"/>
    <w:link w:val="32"/>
    <w:qFormat/>
    <w:uiPriority w:val="99"/>
    <w:pPr>
      <w:keepNext/>
      <w:keepLines/>
      <w:spacing w:line="580" w:lineRule="exact"/>
      <w:ind w:firstLine="732" w:firstLineChars="200"/>
      <w:outlineLvl w:val="1"/>
    </w:pPr>
    <w:rPr>
      <w:rFonts w:ascii="Arial" w:hAnsi="Arial" w:eastAsia="楷体_GB2312"/>
      <w:b/>
      <w:sz w:val="32"/>
      <w:szCs w:val="32"/>
    </w:rPr>
  </w:style>
  <w:style w:type="paragraph" w:styleId="4">
    <w:name w:val="heading 3"/>
    <w:basedOn w:val="1"/>
    <w:next w:val="1"/>
    <w:link w:val="4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5"/>
    <w:unhideWhenUsed/>
    <w:qFormat/>
    <w:uiPriority w:val="9"/>
    <w:pPr>
      <w:keepNext/>
      <w:keepLines/>
      <w:spacing w:before="280" w:after="290" w:line="376" w:lineRule="auto"/>
      <w:outlineLvl w:val="3"/>
    </w:pPr>
    <w:rPr>
      <w:rFonts w:ascii="等线 Light" w:hAnsi="等线 Light" w:eastAsia="等线 Light"/>
      <w:b/>
      <w:bCs/>
      <w:sz w:val="28"/>
      <w:szCs w:val="28"/>
    </w:rPr>
  </w:style>
  <w:style w:type="paragraph" w:styleId="6">
    <w:name w:val="heading 5"/>
    <w:basedOn w:val="1"/>
    <w:next w:val="1"/>
    <w:link w:val="46"/>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47"/>
    <w:unhideWhenUsed/>
    <w:qFormat/>
    <w:uiPriority w:val="9"/>
    <w:pPr>
      <w:keepNext/>
      <w:keepLines/>
      <w:spacing w:before="240" w:after="64" w:line="320" w:lineRule="auto"/>
      <w:outlineLvl w:val="5"/>
    </w:pPr>
    <w:rPr>
      <w:rFonts w:ascii="等线 Light" w:hAnsi="等线 Light" w:eastAsia="等线 Light"/>
      <w:b/>
      <w:bCs/>
      <w:sz w:val="24"/>
      <w:szCs w:val="24"/>
    </w:rPr>
  </w:style>
  <w:style w:type="paragraph" w:styleId="8">
    <w:name w:val="heading 7"/>
    <w:basedOn w:val="1"/>
    <w:next w:val="1"/>
    <w:link w:val="48"/>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49"/>
    <w:unhideWhenUsed/>
    <w:qFormat/>
    <w:uiPriority w:val="9"/>
    <w:pPr>
      <w:keepNext/>
      <w:keepLines/>
      <w:spacing w:before="240" w:after="64" w:line="320" w:lineRule="auto"/>
      <w:outlineLvl w:val="7"/>
    </w:pPr>
    <w:rPr>
      <w:rFonts w:ascii="等线 Light" w:hAnsi="等线 Light" w:eastAsia="等线 Light"/>
      <w:sz w:val="24"/>
      <w:szCs w:val="24"/>
    </w:rPr>
  </w:style>
  <w:style w:type="paragraph" w:styleId="10">
    <w:name w:val="heading 9"/>
    <w:basedOn w:val="1"/>
    <w:next w:val="1"/>
    <w:link w:val="50"/>
    <w:unhideWhenUsed/>
    <w:qFormat/>
    <w:uiPriority w:val="9"/>
    <w:pPr>
      <w:keepNext/>
      <w:keepLines/>
      <w:spacing w:before="240" w:after="64" w:line="320" w:lineRule="auto"/>
      <w:outlineLvl w:val="8"/>
    </w:pPr>
    <w:rPr>
      <w:rFonts w:ascii="等线 Light" w:hAnsi="等线 Light" w:eastAsia="等线 Light"/>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index 5"/>
    <w:basedOn w:val="1"/>
    <w:next w:val="1"/>
    <w:autoRedefine/>
    <w:qFormat/>
    <w:uiPriority w:val="0"/>
    <w:pPr>
      <w:ind w:left="1680"/>
    </w:pPr>
  </w:style>
  <w:style w:type="paragraph" w:styleId="12">
    <w:name w:val="annotation text"/>
    <w:basedOn w:val="1"/>
    <w:link w:val="52"/>
    <w:semiHidden/>
    <w:unhideWhenUsed/>
    <w:qFormat/>
    <w:uiPriority w:val="99"/>
    <w:pPr>
      <w:jc w:val="left"/>
    </w:pPr>
  </w:style>
  <w:style w:type="paragraph" w:styleId="13">
    <w:name w:val="Date"/>
    <w:basedOn w:val="1"/>
    <w:next w:val="1"/>
    <w:link w:val="41"/>
    <w:semiHidden/>
    <w:unhideWhenUsed/>
    <w:qFormat/>
    <w:uiPriority w:val="99"/>
    <w:pPr>
      <w:ind w:left="100" w:leftChars="2500"/>
    </w:pPr>
  </w:style>
  <w:style w:type="paragraph" w:styleId="14">
    <w:name w:val="Body Text Indent 2"/>
    <w:basedOn w:val="1"/>
    <w:link w:val="28"/>
    <w:semiHidden/>
    <w:unhideWhenUsed/>
    <w:qFormat/>
    <w:uiPriority w:val="99"/>
    <w:pPr>
      <w:spacing w:after="120" w:line="480" w:lineRule="auto"/>
      <w:ind w:left="420" w:leftChars="200"/>
    </w:pPr>
  </w:style>
  <w:style w:type="paragraph" w:styleId="15">
    <w:name w:val="footer"/>
    <w:basedOn w:val="1"/>
    <w:next w:val="11"/>
    <w:link w:val="30"/>
    <w:unhideWhenUsed/>
    <w:qFormat/>
    <w:uiPriority w:val="99"/>
    <w:pPr>
      <w:tabs>
        <w:tab w:val="center" w:pos="4153"/>
        <w:tab w:val="right" w:pos="8306"/>
      </w:tabs>
      <w:snapToGrid w:val="0"/>
      <w:spacing w:line="240" w:lineRule="atLeast"/>
      <w:jc w:val="left"/>
    </w:pPr>
    <w:rPr>
      <w:sz w:val="18"/>
      <w:szCs w:val="18"/>
    </w:rPr>
  </w:style>
  <w:style w:type="paragraph" w:styleId="16">
    <w:name w:val="header"/>
    <w:basedOn w:val="1"/>
    <w:next w:val="1"/>
    <w:link w:val="29"/>
    <w:unhideWhenUsed/>
    <w:qFormat/>
    <w:uiPriority w:val="99"/>
    <w:pPr>
      <w:tabs>
        <w:tab w:val="center" w:pos="4153"/>
        <w:tab w:val="right" w:pos="8306"/>
      </w:tabs>
      <w:snapToGrid w:val="0"/>
      <w:spacing w:line="240" w:lineRule="atLeast"/>
      <w:jc w:val="center"/>
    </w:pPr>
    <w:rPr>
      <w:sz w:val="18"/>
      <w:szCs w:val="18"/>
    </w:rPr>
  </w:style>
  <w:style w:type="paragraph" w:styleId="17">
    <w:name w:val="toc 1"/>
    <w:basedOn w:val="1"/>
    <w:next w:val="1"/>
    <w:autoRedefine/>
    <w:unhideWhenUsed/>
    <w:qFormat/>
    <w:uiPriority w:val="39"/>
  </w:style>
  <w:style w:type="paragraph" w:styleId="18">
    <w:name w:val="footnote text"/>
    <w:basedOn w:val="1"/>
    <w:link w:val="36"/>
    <w:unhideWhenUsed/>
    <w:qFormat/>
    <w:uiPriority w:val="99"/>
    <w:pPr>
      <w:snapToGrid w:val="0"/>
      <w:jc w:val="left"/>
    </w:pPr>
    <w:rPr>
      <w:sz w:val="18"/>
      <w:szCs w:val="18"/>
    </w:rPr>
  </w:style>
  <w:style w:type="paragraph" w:styleId="19">
    <w:name w:val="toc 2"/>
    <w:basedOn w:val="1"/>
    <w:next w:val="1"/>
    <w:unhideWhenUsed/>
    <w:qFormat/>
    <w:uiPriority w:val="39"/>
    <w:pPr>
      <w:ind w:left="420" w:leftChars="200"/>
    </w:pPr>
  </w:style>
  <w:style w:type="paragraph" w:styleId="20">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21">
    <w:name w:val="annotation subject"/>
    <w:basedOn w:val="12"/>
    <w:next w:val="12"/>
    <w:link w:val="53"/>
    <w:semiHidden/>
    <w:unhideWhenUsed/>
    <w:qFormat/>
    <w:uiPriority w:val="99"/>
    <w:rPr>
      <w:b/>
      <w:bCs/>
    </w:rPr>
  </w:style>
  <w:style w:type="table" w:styleId="23">
    <w:name w:val="Table Grid"/>
    <w:basedOn w:val="2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semiHidden/>
    <w:unhideWhenUsed/>
    <w:qFormat/>
    <w:uiPriority w:val="99"/>
    <w:rPr>
      <w:color w:val="954F72"/>
      <w:u w:val="single"/>
    </w:rPr>
  </w:style>
  <w:style w:type="character" w:styleId="26">
    <w:name w:val="Hyperlink"/>
    <w:autoRedefine/>
    <w:unhideWhenUsed/>
    <w:qFormat/>
    <w:uiPriority w:val="99"/>
    <w:rPr>
      <w:color w:val="0000FF"/>
      <w:u w:val="single"/>
    </w:rPr>
  </w:style>
  <w:style w:type="character" w:styleId="27">
    <w:name w:val="annotation reference"/>
    <w:basedOn w:val="24"/>
    <w:autoRedefine/>
    <w:semiHidden/>
    <w:unhideWhenUsed/>
    <w:qFormat/>
    <w:uiPriority w:val="99"/>
    <w:rPr>
      <w:sz w:val="21"/>
      <w:szCs w:val="21"/>
    </w:rPr>
  </w:style>
  <w:style w:type="character" w:customStyle="1" w:styleId="28">
    <w:name w:val="正文文本缩进 2 字符"/>
    <w:link w:val="14"/>
    <w:semiHidden/>
    <w:qFormat/>
    <w:uiPriority w:val="99"/>
    <w:rPr>
      <w:rFonts w:ascii="Times New Roman" w:hAnsi="Times New Roman" w:eastAsia="仿宋_GB2312" w:cs="Times New Roman"/>
      <w:sz w:val="32"/>
      <w:szCs w:val="24"/>
    </w:rPr>
  </w:style>
  <w:style w:type="character" w:customStyle="1" w:styleId="29">
    <w:name w:val="页眉 字符"/>
    <w:link w:val="16"/>
    <w:qFormat/>
    <w:uiPriority w:val="99"/>
    <w:rPr>
      <w:rFonts w:ascii="Times New Roman" w:hAnsi="Times New Roman" w:eastAsia="仿宋_GB2312" w:cs="Times New Roman"/>
      <w:sz w:val="18"/>
      <w:szCs w:val="18"/>
    </w:rPr>
  </w:style>
  <w:style w:type="character" w:customStyle="1" w:styleId="30">
    <w:name w:val="页脚 字符"/>
    <w:link w:val="15"/>
    <w:qFormat/>
    <w:uiPriority w:val="99"/>
    <w:rPr>
      <w:rFonts w:ascii="Times New Roman" w:hAnsi="Times New Roman" w:eastAsia="仿宋_GB2312" w:cs="Times New Roman"/>
      <w:sz w:val="18"/>
      <w:szCs w:val="18"/>
    </w:rPr>
  </w:style>
  <w:style w:type="character" w:customStyle="1" w:styleId="31">
    <w:name w:val="标题 1 字符"/>
    <w:link w:val="2"/>
    <w:qFormat/>
    <w:uiPriority w:val="99"/>
    <w:rPr>
      <w:rFonts w:ascii="Times New Roman" w:hAnsi="Times New Roman" w:eastAsia="黑体" w:cs="Times New Roman"/>
      <w:kern w:val="44"/>
      <w:sz w:val="32"/>
      <w:szCs w:val="32"/>
    </w:rPr>
  </w:style>
  <w:style w:type="character" w:customStyle="1" w:styleId="32">
    <w:name w:val="标题 2 字符"/>
    <w:link w:val="3"/>
    <w:qFormat/>
    <w:uiPriority w:val="99"/>
    <w:rPr>
      <w:rFonts w:ascii="Arial" w:hAnsi="Arial" w:eastAsia="楷体_GB2312" w:cs="Times New Roman"/>
      <w:b/>
      <w:sz w:val="32"/>
      <w:szCs w:val="32"/>
    </w:rPr>
  </w:style>
  <w:style w:type="paragraph" w:customStyle="1" w:styleId="33">
    <w:name w:val="目录 11"/>
    <w:basedOn w:val="1"/>
    <w:next w:val="1"/>
    <w:qFormat/>
    <w:uiPriority w:val="0"/>
  </w:style>
  <w:style w:type="paragraph" w:customStyle="1" w:styleId="34">
    <w:name w:val="目录 21"/>
    <w:basedOn w:val="1"/>
    <w:next w:val="1"/>
    <w:autoRedefine/>
    <w:semiHidden/>
    <w:qFormat/>
    <w:uiPriority w:val="0"/>
    <w:pPr>
      <w:spacing w:before="100" w:beforeAutospacing="1" w:after="100" w:afterAutospacing="1"/>
      <w:ind w:left="420" w:leftChars="200"/>
    </w:pPr>
  </w:style>
  <w:style w:type="paragraph" w:customStyle="1" w:styleId="35">
    <w:name w:val="p0"/>
    <w:basedOn w:val="1"/>
    <w:next w:val="16"/>
    <w:autoRedefine/>
    <w:qFormat/>
    <w:uiPriority w:val="0"/>
    <w:pPr>
      <w:widowControl/>
      <w:spacing w:before="100" w:beforeAutospacing="1" w:after="100" w:afterAutospacing="1" w:line="365" w:lineRule="atLeast"/>
      <w:ind w:left="1"/>
      <w:jc w:val="left"/>
    </w:pPr>
    <w:rPr>
      <w:kern w:val="0"/>
      <w:sz w:val="24"/>
      <w:szCs w:val="24"/>
    </w:rPr>
  </w:style>
  <w:style w:type="character" w:customStyle="1" w:styleId="36">
    <w:name w:val="脚注文本 字符"/>
    <w:link w:val="18"/>
    <w:qFormat/>
    <w:uiPriority w:val="99"/>
    <w:rPr>
      <w:rFonts w:ascii="Times New Roman" w:hAnsi="Times New Roman" w:eastAsia="宋体" w:cs="Times New Roman"/>
      <w:sz w:val="18"/>
      <w:szCs w:val="18"/>
    </w:rPr>
  </w:style>
  <w:style w:type="character" w:customStyle="1" w:styleId="37">
    <w:name w:val="15"/>
    <w:autoRedefine/>
    <w:qFormat/>
    <w:uiPriority w:val="0"/>
    <w:rPr>
      <w:rFonts w:hint="default" w:ascii="Arial" w:hAnsi="Arial" w:eastAsia="楷体_GB2312" w:cs="Arial"/>
      <w:b/>
      <w:sz w:val="32"/>
      <w:szCs w:val="32"/>
    </w:rPr>
  </w:style>
  <w:style w:type="character" w:customStyle="1" w:styleId="38">
    <w:name w:val="16"/>
    <w:qFormat/>
    <w:uiPriority w:val="0"/>
    <w:rPr>
      <w:rFonts w:hint="eastAsia" w:ascii="仿宋_GB2312" w:eastAsia="仿宋_GB2312"/>
      <w:b/>
      <w:bCs/>
      <w:color w:val="000000"/>
      <w:sz w:val="21"/>
      <w:szCs w:val="21"/>
    </w:rPr>
  </w:style>
  <w:style w:type="character" w:customStyle="1" w:styleId="39">
    <w:name w:val="17"/>
    <w:qFormat/>
    <w:uiPriority w:val="0"/>
    <w:rPr>
      <w:rFonts w:hint="eastAsia" w:ascii="仿宋_GB2312" w:eastAsia="仿宋_GB2312"/>
      <w:b/>
      <w:bCs/>
      <w:color w:val="000000"/>
      <w:sz w:val="21"/>
      <w:szCs w:val="21"/>
    </w:rPr>
  </w:style>
  <w:style w:type="character" w:customStyle="1" w:styleId="40">
    <w:name w:val="标题 3 字符"/>
    <w:link w:val="4"/>
    <w:autoRedefine/>
    <w:qFormat/>
    <w:uiPriority w:val="9"/>
    <w:rPr>
      <w:rFonts w:ascii="Times New Roman" w:hAnsi="Times New Roman" w:eastAsia="宋体"/>
      <w:b/>
      <w:bCs/>
      <w:kern w:val="2"/>
      <w:sz w:val="32"/>
      <w:szCs w:val="32"/>
    </w:rPr>
  </w:style>
  <w:style w:type="character" w:customStyle="1" w:styleId="41">
    <w:name w:val="日期 字符"/>
    <w:link w:val="13"/>
    <w:autoRedefine/>
    <w:semiHidden/>
    <w:qFormat/>
    <w:uiPriority w:val="99"/>
    <w:rPr>
      <w:rFonts w:ascii="Times New Roman" w:hAnsi="Times New Roman" w:eastAsia="宋体"/>
      <w:kern w:val="2"/>
      <w:sz w:val="21"/>
      <w:szCs w:val="21"/>
    </w:rPr>
  </w:style>
  <w:style w:type="character" w:customStyle="1" w:styleId="42">
    <w:name w:val="18"/>
    <w:autoRedefine/>
    <w:qFormat/>
    <w:uiPriority w:val="0"/>
    <w:rPr>
      <w:rFonts w:hint="eastAsia" w:ascii="宋体" w:hAnsi="宋体" w:eastAsia="宋体"/>
      <w:color w:val="000000"/>
      <w:sz w:val="18"/>
      <w:szCs w:val="18"/>
      <w:vertAlign w:val="subscript"/>
    </w:rPr>
  </w:style>
  <w:style w:type="character" w:customStyle="1" w:styleId="43">
    <w:name w:val="19"/>
    <w:autoRedefine/>
    <w:qFormat/>
    <w:uiPriority w:val="0"/>
    <w:rPr>
      <w:rFonts w:hint="eastAsia" w:ascii="宋体" w:hAnsi="宋体" w:eastAsia="宋体"/>
      <w:color w:val="000000"/>
      <w:sz w:val="18"/>
      <w:szCs w:val="18"/>
    </w:rPr>
  </w:style>
  <w:style w:type="paragraph" w:customStyle="1" w:styleId="44">
    <w:name w:val="_Style 38"/>
    <w:basedOn w:val="2"/>
    <w:next w:val="1"/>
    <w:autoRedefine/>
    <w:unhideWhenUsed/>
    <w:qFormat/>
    <w:uiPriority w:val="39"/>
    <w:pPr>
      <w:widowControl/>
      <w:spacing w:before="240" w:line="259" w:lineRule="auto"/>
      <w:ind w:firstLine="0" w:firstLineChars="0"/>
      <w:jc w:val="left"/>
      <w:outlineLvl w:val="9"/>
    </w:pPr>
    <w:rPr>
      <w:rFonts w:ascii="等线 Light" w:hAnsi="等线 Light" w:eastAsia="等线 Light"/>
      <w:color w:val="2F5496"/>
      <w:kern w:val="0"/>
    </w:rPr>
  </w:style>
  <w:style w:type="character" w:customStyle="1" w:styleId="45">
    <w:name w:val="标题 4 字符"/>
    <w:link w:val="5"/>
    <w:autoRedefine/>
    <w:qFormat/>
    <w:uiPriority w:val="9"/>
    <w:rPr>
      <w:rFonts w:ascii="等线 Light" w:hAnsi="等线 Light" w:eastAsia="等线 Light" w:cs="Times New Roman"/>
      <w:b/>
      <w:bCs/>
      <w:kern w:val="2"/>
      <w:sz w:val="28"/>
      <w:szCs w:val="28"/>
    </w:rPr>
  </w:style>
  <w:style w:type="character" w:customStyle="1" w:styleId="46">
    <w:name w:val="标题 5 字符"/>
    <w:link w:val="6"/>
    <w:autoRedefine/>
    <w:qFormat/>
    <w:uiPriority w:val="9"/>
    <w:rPr>
      <w:rFonts w:ascii="Times New Roman" w:hAnsi="Times New Roman" w:eastAsia="宋体"/>
      <w:b/>
      <w:bCs/>
      <w:kern w:val="2"/>
      <w:sz w:val="28"/>
      <w:szCs w:val="28"/>
    </w:rPr>
  </w:style>
  <w:style w:type="character" w:customStyle="1" w:styleId="47">
    <w:name w:val="标题 6 字符"/>
    <w:link w:val="7"/>
    <w:qFormat/>
    <w:uiPriority w:val="9"/>
    <w:rPr>
      <w:rFonts w:ascii="等线 Light" w:hAnsi="等线 Light" w:eastAsia="等线 Light" w:cs="Times New Roman"/>
      <w:b/>
      <w:bCs/>
      <w:kern w:val="2"/>
      <w:sz w:val="24"/>
      <w:szCs w:val="24"/>
    </w:rPr>
  </w:style>
  <w:style w:type="character" w:customStyle="1" w:styleId="48">
    <w:name w:val="标题 7 字符"/>
    <w:link w:val="8"/>
    <w:qFormat/>
    <w:uiPriority w:val="9"/>
    <w:rPr>
      <w:rFonts w:ascii="Times New Roman" w:hAnsi="Times New Roman" w:eastAsia="宋体"/>
      <w:b/>
      <w:bCs/>
      <w:kern w:val="2"/>
      <w:sz w:val="24"/>
      <w:szCs w:val="24"/>
    </w:rPr>
  </w:style>
  <w:style w:type="character" w:customStyle="1" w:styleId="49">
    <w:name w:val="标题 8 字符"/>
    <w:link w:val="9"/>
    <w:qFormat/>
    <w:uiPriority w:val="9"/>
    <w:rPr>
      <w:rFonts w:ascii="等线 Light" w:hAnsi="等线 Light" w:eastAsia="等线 Light" w:cs="Times New Roman"/>
      <w:kern w:val="2"/>
      <w:sz w:val="24"/>
      <w:szCs w:val="24"/>
    </w:rPr>
  </w:style>
  <w:style w:type="character" w:customStyle="1" w:styleId="50">
    <w:name w:val="标题 9 字符"/>
    <w:link w:val="10"/>
    <w:autoRedefine/>
    <w:qFormat/>
    <w:uiPriority w:val="9"/>
    <w:rPr>
      <w:rFonts w:ascii="等线 Light" w:hAnsi="等线 Light" w:eastAsia="等线 Light" w:cs="Times New Roman"/>
      <w:kern w:val="2"/>
      <w:sz w:val="21"/>
      <w:szCs w:val="21"/>
    </w:rPr>
  </w:style>
  <w:style w:type="paragraph" w:customStyle="1" w:styleId="51">
    <w:name w:val="修订1"/>
    <w:hidden/>
    <w:unhideWhenUsed/>
    <w:qFormat/>
    <w:uiPriority w:val="99"/>
    <w:rPr>
      <w:rFonts w:ascii="Times New Roman" w:hAnsi="Times New Roman" w:eastAsia="宋体" w:cs="Times New Roman"/>
      <w:kern w:val="2"/>
      <w:sz w:val="21"/>
      <w:szCs w:val="21"/>
      <w:lang w:val="en-US" w:eastAsia="zh-CN" w:bidi="ar-SA"/>
    </w:rPr>
  </w:style>
  <w:style w:type="character" w:customStyle="1" w:styleId="52">
    <w:name w:val="批注文字 字符"/>
    <w:basedOn w:val="24"/>
    <w:link w:val="12"/>
    <w:semiHidden/>
    <w:qFormat/>
    <w:uiPriority w:val="99"/>
    <w:rPr>
      <w:rFonts w:ascii="Times New Roman" w:hAnsi="Times New Roman" w:eastAsia="宋体"/>
      <w:kern w:val="2"/>
      <w:sz w:val="21"/>
      <w:szCs w:val="21"/>
    </w:rPr>
  </w:style>
  <w:style w:type="character" w:customStyle="1" w:styleId="53">
    <w:name w:val="批注主题 字符"/>
    <w:basedOn w:val="52"/>
    <w:link w:val="21"/>
    <w:autoRedefine/>
    <w:semiHidden/>
    <w:qFormat/>
    <w:uiPriority w:val="99"/>
    <w:rPr>
      <w:rFonts w:ascii="Times New Roman" w:hAnsi="Times New Roman" w:eastAsia="宋体"/>
      <w:b/>
      <w:bCs/>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7FC5AE-3AC1-47F3-B1BF-957BDAEEB7CC}">
  <ds:schemaRefs/>
</ds:datastoreItem>
</file>

<file path=docProps/app.xml><?xml version="1.0" encoding="utf-8"?>
<Properties xmlns="http://schemas.openxmlformats.org/officeDocument/2006/extended-properties" xmlns:vt="http://schemas.openxmlformats.org/officeDocument/2006/docPropsVTypes">
  <Template>Normal</Template>
  <Pages>35</Pages>
  <Words>16195</Words>
  <Characters>19339</Characters>
  <Lines>162</Lines>
  <Paragraphs>45</Paragraphs>
  <TotalTime>10</TotalTime>
  <ScaleCrop>false</ScaleCrop>
  <LinksUpToDate>false</LinksUpToDate>
  <CharactersWithSpaces>19518</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2023-10-07T08:39:00Z</dcterms:created>
  <dc:creator>JAMESLI</dc:creator>
  <cp:lastModifiedBy>随风而起</cp:lastModifiedBy>
  <dcterms:modified xsi:type="dcterms:W3CDTF">2024-03-28T02:53:27Z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F1067533DF4EAF84109BED642B9C174E_42</vt:lpwstr>
  </property>
</Properties>
</file>