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粗黑宋简体" w:hAnsi="方正粗黑宋简体" w:eastAsia="方正粗黑宋简体" w:cs="方正粗黑宋简体"/>
          <w:b w:val="0"/>
          <w:bCs w:val="0"/>
          <w:color w:val="auto"/>
          <w:sz w:val="56"/>
          <w:szCs w:val="56"/>
          <w:lang w:eastAsia="zh-CN"/>
        </w:rPr>
      </w:pPr>
      <w:r>
        <w:rPr>
          <w:rFonts w:hint="eastAsia" w:ascii="方正粗黑宋简体" w:hAnsi="方正粗黑宋简体" w:eastAsia="方正粗黑宋简体" w:cs="方正粗黑宋简体"/>
          <w:b w:val="0"/>
          <w:bCs w:val="0"/>
          <w:color w:val="auto"/>
          <w:sz w:val="56"/>
          <w:szCs w:val="56"/>
          <w:lang w:eastAsia="zh-CN"/>
        </w:rPr>
        <w:t>湖南南方会计师事务所有限责任公司</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w w:val="115"/>
          <w:sz w:val="32"/>
          <w:szCs w:val="40"/>
          <w:lang w:val="en-US" w:eastAsia="zh-CN"/>
        </w:rPr>
      </w:pPr>
      <w:r>
        <w:rPr>
          <w:rFonts w:hint="eastAsia" w:ascii="宋体" w:hAnsi="宋体" w:eastAsia="宋体" w:cs="宋体"/>
          <w:b/>
          <w:bCs/>
          <w:color w:val="auto"/>
          <w:w w:val="115"/>
          <w:sz w:val="32"/>
          <w:szCs w:val="40"/>
          <w:lang w:val="en-US" w:eastAsia="zh-CN"/>
        </w:rPr>
        <w:t>HUNANNANFANGKUAIJISHISHIWUSUOYOUXIANZRRENGONGSI</w:t>
      </w:r>
    </w:p>
    <w:p>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rPr>
      </w:pPr>
    </w:p>
    <w:p>
      <w:pPr>
        <w:keepNext w:val="0"/>
        <w:keepLines w:val="0"/>
        <w:pageBreakBefore w:val="0"/>
        <w:widowControl/>
        <w:tabs>
          <w:tab w:val="left" w:pos="3600"/>
        </w:tabs>
        <w:kinsoku/>
        <w:wordWrap/>
        <w:overflowPunct/>
        <w:topLinePunct w:val="0"/>
        <w:autoSpaceDE/>
        <w:autoSpaceDN/>
        <w:bidi w:val="0"/>
        <w:adjustRightInd/>
        <w:snapToGrid/>
        <w:spacing w:line="340" w:lineRule="exact"/>
        <w:jc w:val="center"/>
        <w:textAlignment w:val="auto"/>
        <w:rPr>
          <w:rFonts w:hint="eastAsia" w:ascii="仿宋_GB2312" w:hAnsi="仿宋" w:eastAsia="仿宋_GB2312"/>
          <w:b/>
          <w:bCs/>
          <w:color w:val="auto"/>
          <w:sz w:val="28"/>
          <w:szCs w:val="28"/>
        </w:rPr>
      </w:pPr>
      <w:r>
        <w:rPr>
          <w:rFonts w:hint="eastAsia" w:ascii="仿宋_GB2312" w:hAnsi="仿宋" w:eastAsia="仿宋_GB2312"/>
          <w:b/>
          <w:bCs/>
          <w:color w:val="auto"/>
          <w:sz w:val="28"/>
          <w:szCs w:val="28"/>
        </w:rPr>
        <w:t>湘南</w:t>
      </w:r>
      <w:r>
        <w:rPr>
          <w:rFonts w:hint="eastAsia" w:ascii="仿宋_GB2312" w:hAnsi="仿宋" w:eastAsia="仿宋_GB2312"/>
          <w:b/>
          <w:bCs/>
          <w:color w:val="auto"/>
          <w:sz w:val="28"/>
          <w:szCs w:val="28"/>
          <w:lang w:eastAsia="zh-CN"/>
        </w:rPr>
        <w:t>绩评</w:t>
      </w:r>
      <w:r>
        <w:rPr>
          <w:rFonts w:hint="eastAsia" w:ascii="仿宋_GB2312" w:hAnsi="仿宋" w:eastAsia="仿宋_GB2312"/>
          <w:b/>
          <w:bCs/>
          <w:color w:val="auto"/>
          <w:sz w:val="28"/>
          <w:szCs w:val="28"/>
        </w:rPr>
        <w:t>字[202</w:t>
      </w:r>
      <w:r>
        <w:rPr>
          <w:rFonts w:hint="eastAsia" w:ascii="仿宋_GB2312" w:hAnsi="仿宋" w:eastAsia="仿宋_GB2312"/>
          <w:b/>
          <w:bCs/>
          <w:color w:val="auto"/>
          <w:sz w:val="28"/>
          <w:szCs w:val="28"/>
          <w:lang w:val="en-US" w:eastAsia="zh-CN"/>
        </w:rPr>
        <w:t>2</w:t>
      </w:r>
      <w:r>
        <w:rPr>
          <w:rFonts w:hint="eastAsia" w:ascii="仿宋_GB2312" w:hAnsi="仿宋" w:eastAsia="仿宋_GB2312"/>
          <w:b/>
          <w:bCs/>
          <w:color w:val="auto"/>
          <w:sz w:val="28"/>
          <w:szCs w:val="28"/>
        </w:rPr>
        <w:t>]</w:t>
      </w:r>
      <w:r>
        <w:rPr>
          <w:rFonts w:hint="eastAsia" w:ascii="仿宋_GB2312" w:hAnsi="仿宋" w:eastAsia="仿宋_GB2312"/>
          <w:b/>
          <w:bCs/>
          <w:color w:val="auto"/>
          <w:sz w:val="28"/>
          <w:szCs w:val="28"/>
          <w:lang w:val="en-US" w:eastAsia="zh-CN"/>
        </w:rPr>
        <w:t>016</w:t>
      </w:r>
      <w:r>
        <w:rPr>
          <w:rFonts w:hint="eastAsia" w:ascii="仿宋_GB2312" w:hAnsi="仿宋" w:eastAsia="仿宋_GB2312"/>
          <w:b/>
          <w:bCs/>
          <w:color w:val="auto"/>
          <w:sz w:val="28"/>
          <w:szCs w:val="28"/>
        </w:rPr>
        <w:t>号</w:t>
      </w:r>
    </w:p>
    <w:p>
      <w:pPr>
        <w:pStyle w:val="2"/>
        <w:keepNext w:val="0"/>
        <w:keepLines w:val="0"/>
        <w:pageBreakBefore w:val="0"/>
        <w:widowControl/>
        <w:kinsoku/>
        <w:wordWrap/>
        <w:overflowPunct/>
        <w:topLinePunct w:val="0"/>
        <w:autoSpaceDE/>
        <w:autoSpaceDN/>
        <w:bidi w:val="0"/>
        <w:adjustRightInd/>
        <w:snapToGrid/>
        <w:spacing w:line="300" w:lineRule="exact"/>
        <w:textAlignment w:val="auto"/>
        <w:rPr>
          <w:rFonts w:hint="eastAsia"/>
          <w:color w:val="auto"/>
        </w:rPr>
      </w:pPr>
    </w:p>
    <w:p>
      <w:pPr>
        <w:pStyle w:val="2"/>
        <w:keepNext w:val="0"/>
        <w:keepLines w:val="0"/>
        <w:pageBreakBefore w:val="0"/>
        <w:widowControl w:val="0"/>
        <w:kinsoku/>
        <w:wordWrap/>
        <w:overflowPunct/>
        <w:topLinePunct w:val="0"/>
        <w:autoSpaceDE/>
        <w:autoSpaceDN/>
        <w:bidi w:val="0"/>
        <w:adjustRightInd/>
        <w:snapToGrid/>
        <w:spacing w:after="0"/>
        <w:ind w:firstLine="220" w:firstLineChars="100"/>
        <w:textAlignment w:val="auto"/>
        <w:rPr>
          <w:rFonts w:hint="default" w:eastAsia="宋体"/>
          <w:b/>
          <w:bCs/>
          <w:color w:val="auto"/>
          <w:sz w:val="22"/>
          <w:szCs w:val="28"/>
          <w:lang w:val="en-US" w:eastAsia="zh-CN"/>
        </w:rPr>
      </w:pPr>
      <w:r>
        <w:rPr>
          <w:rFonts w:hint="eastAsia"/>
          <w:b/>
          <w:bCs/>
          <w:color w:val="auto"/>
          <w:sz w:val="22"/>
          <w:szCs w:val="28"/>
          <w:lang w:val="en-US" w:eastAsia="zh-CN"/>
        </w:rPr>
        <w:t>邵 阳 市 双 拥 路 宝 庆 府 邸 · 馨 园 三 栋 一 单 元 二 楼  电 话0739-5311268</w:t>
      </w:r>
    </w:p>
    <w:p>
      <w:pPr>
        <w:spacing w:line="500" w:lineRule="exact"/>
        <w:jc w:val="center"/>
        <w:rPr>
          <w:rFonts w:hint="eastAsia" w:ascii="仿宋" w:hAnsi="仿宋" w:eastAsia="仿宋"/>
          <w:color w:val="auto"/>
          <w:sz w:val="32"/>
          <w:szCs w:val="32"/>
        </w:rPr>
      </w:pPr>
      <w:r>
        <w:rPr>
          <w:color w:val="auto"/>
          <w:sz w:val="24"/>
        </w:rPr>
        <mc:AlternateContent>
          <mc:Choice Requires="wps">
            <w:drawing>
              <wp:anchor distT="0" distB="0" distL="114300" distR="114300" simplePos="0" relativeHeight="251659264" behindDoc="0" locked="0" layoutInCell="1" allowOverlap="1">
                <wp:simplePos x="0" y="0"/>
                <wp:positionH relativeFrom="column">
                  <wp:posOffset>114935</wp:posOffset>
                </wp:positionH>
                <wp:positionV relativeFrom="paragraph">
                  <wp:posOffset>31115</wp:posOffset>
                </wp:positionV>
                <wp:extent cx="5520055" cy="635"/>
                <wp:effectExtent l="0" t="0" r="0" b="0"/>
                <wp:wrapNone/>
                <wp:docPr id="8" name="直接连接符 8"/>
                <wp:cNvGraphicFramePr/>
                <a:graphic xmlns:a="http://schemas.openxmlformats.org/drawingml/2006/main">
                  <a:graphicData uri="http://schemas.microsoft.com/office/word/2010/wordprocessingShape">
                    <wps:wsp>
                      <wps:cNvSpPr/>
                      <wps:spPr>
                        <a:xfrm>
                          <a:off x="0" y="0"/>
                          <a:ext cx="552005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05pt;margin-top:2.45pt;height:0.05pt;width:434.65pt;z-index:251659264;mso-width-relative:page;mso-height-relative:page;" filled="f" stroked="t" coordsize="21600,21600" o:gfxdata="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oAtHNQAAAAGAQAADwAAAAAAAAABACAAAAAiAAAAZHJzL2Rvd25yZXYueG1sUEsBAhQAFAAA&#10;AAgAh07iQNmL2TvzAQAA5gMAAA4AAAAAAAAAAQAgAAAAIwEAAGRycy9lMm9Eb2MueG1sUEsFBgAA&#10;AAAGAAYAWQEAAIgFAAAAAA==&#10;">
                <v:fill on="f" focussize="0,0"/>
                <v:stroke color="#000000" joinstyle="round"/>
                <v:imagedata o:title=""/>
                <o:lock v:ext="edit" aspectratio="f"/>
              </v:line>
            </w:pict>
          </mc:Fallback>
        </mc:AlternateContent>
      </w:r>
      <w:r>
        <w:rPr>
          <w:color w:val="auto"/>
          <w:sz w:val="24"/>
        </w:rPr>
        <mc:AlternateContent>
          <mc:Choice Requires="wps">
            <w:drawing>
              <wp:anchor distT="0" distB="0" distL="114300" distR="114300" simplePos="0" relativeHeight="251662336" behindDoc="0" locked="0" layoutInCell="1" allowOverlap="1">
                <wp:simplePos x="0" y="0"/>
                <wp:positionH relativeFrom="column">
                  <wp:posOffset>115570</wp:posOffset>
                </wp:positionH>
                <wp:positionV relativeFrom="paragraph">
                  <wp:posOffset>41910</wp:posOffset>
                </wp:positionV>
                <wp:extent cx="5518785" cy="635"/>
                <wp:effectExtent l="0" t="0" r="0" b="0"/>
                <wp:wrapNone/>
                <wp:docPr id="7" name="直接连接符 7"/>
                <wp:cNvGraphicFramePr/>
                <a:graphic xmlns:a="http://schemas.openxmlformats.org/drawingml/2006/main">
                  <a:graphicData uri="http://schemas.microsoft.com/office/word/2010/wordprocessingShape">
                    <wps:wsp>
                      <wps:cNvSpPr/>
                      <wps:spPr>
                        <a:xfrm>
                          <a:off x="0" y="0"/>
                          <a:ext cx="551878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1pt;margin-top:3.3pt;height:0.05pt;width:434.55pt;z-index:251662336;mso-width-relative:page;mso-height-relative:page;" filled="f" stroked="t" coordsize="21600,21600" o:gfxdata="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V3iHTAAAABgEAAA8AAAAAAAAAAQAgAAAAIgAAAGRycy9kb3ducmV2LnhtbFBLAQIUABQA&#10;AAAIAIdO4kCgwzDx9QEAAOYDAAAOAAAAAAAAAAEAIAAAACIBAABkcnMvZTJvRG9jLnhtbFBLBQYA&#10;AAAABgAGAFkBAACJBQAAAAA=&#10;">
                <v:fill on="f" focussize="0,0"/>
                <v:stroke color="#000000" joinstyle="round"/>
                <v:imagedata o:title=""/>
                <o:lock v:ext="edit" aspectratio="f"/>
              </v:line>
            </w:pict>
          </mc:Fallback>
        </mc:AlternateContent>
      </w:r>
      <w:r>
        <w:rPr>
          <w:color w:val="auto"/>
          <w:sz w:val="24"/>
        </w:rPr>
        <mc:AlternateContent>
          <mc:Choice Requires="wps">
            <w:drawing>
              <wp:anchor distT="0" distB="0" distL="114300" distR="114300" simplePos="0" relativeHeight="251661312" behindDoc="0" locked="0" layoutInCell="1" allowOverlap="1">
                <wp:simplePos x="0" y="0"/>
                <wp:positionH relativeFrom="column">
                  <wp:posOffset>112395</wp:posOffset>
                </wp:positionH>
                <wp:positionV relativeFrom="paragraph">
                  <wp:posOffset>22225</wp:posOffset>
                </wp:positionV>
                <wp:extent cx="5523230" cy="635"/>
                <wp:effectExtent l="0" t="0" r="0" b="0"/>
                <wp:wrapNone/>
                <wp:docPr id="6" name="直接连接符 6"/>
                <wp:cNvGraphicFramePr/>
                <a:graphic xmlns:a="http://schemas.openxmlformats.org/drawingml/2006/main">
                  <a:graphicData uri="http://schemas.microsoft.com/office/word/2010/wordprocessingShape">
                    <wps:wsp>
                      <wps:cNvSpPr/>
                      <wps:spPr>
                        <a:xfrm>
                          <a:off x="0" y="0"/>
                          <a:ext cx="552323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85pt;margin-top:1.75pt;height:0.05pt;width:434.9pt;z-index:251661312;mso-width-relative:page;mso-height-relative:page;" filled="f" stroked="t" coordsize="21600,21600" o:gfxdata="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AzR19MAAAAGAQAADwAAAAAAAAABACAAAAAiAAAAZHJzL2Rvd25yZXYueG1sUEsBAhQAFAAA&#10;AAgAh07iQFHCnnP0AQAA5gMAAA4AAAAAAAAAAQAgAAAAIgEAAGRycy9lMm9Eb2MueG1sUEsFBgAA&#10;AAAGAAYAWQEAAIgFAAAAAA==&#10;">
                <v:fill on="f" focussize="0,0"/>
                <v:stroke color="#000000" joinstyle="round"/>
                <v:imagedata o:title=""/>
                <o:lock v:ext="edit" aspectratio="f"/>
              </v:line>
            </w:pict>
          </mc:Fallback>
        </mc:AlternateContent>
      </w:r>
      <w:r>
        <w:rPr>
          <w:color w:val="auto"/>
          <w:sz w:val="24"/>
        </w:rPr>
        <mc:AlternateContent>
          <mc:Choice Requires="wps">
            <w:drawing>
              <wp:anchor distT="0" distB="0" distL="114300" distR="114300" simplePos="0" relativeHeight="251660288" behindDoc="0" locked="0" layoutInCell="1" allowOverlap="1">
                <wp:simplePos x="0" y="0"/>
                <wp:positionH relativeFrom="column">
                  <wp:posOffset>113665</wp:posOffset>
                </wp:positionH>
                <wp:positionV relativeFrom="paragraph">
                  <wp:posOffset>14605</wp:posOffset>
                </wp:positionV>
                <wp:extent cx="5521325" cy="635"/>
                <wp:effectExtent l="0" t="0" r="0" b="0"/>
                <wp:wrapNone/>
                <wp:docPr id="5" name="直接连接符 5"/>
                <wp:cNvGraphicFramePr/>
                <a:graphic xmlns:a="http://schemas.openxmlformats.org/drawingml/2006/main">
                  <a:graphicData uri="http://schemas.microsoft.com/office/word/2010/wordprocessingShape">
                    <wps:wsp>
                      <wps:cNvSpPr/>
                      <wps:spPr>
                        <a:xfrm>
                          <a:off x="0" y="0"/>
                          <a:ext cx="55213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95pt;margin-top:1.15pt;height:0.05pt;width:434.75pt;z-index:251660288;mso-width-relative:page;mso-height-relative:page;" filled="f" stroked="t" coordsize="21600,21600" o:gfxdata="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vG1QB1AAAAAYBAAAPAAAAAAAAAAEAIAAAACIAAABkcnMvZG93bnJldi54bWxQSwECFAAU&#10;AAAACACHTuJAssDEUvUBAADmAwAADgAAAAAAAAABACAAAAAjAQAAZHJzL2Uyb0RvYy54bWxQSwUG&#10;AAAAAAYABgBZAQAAigUAAAAA&#10;">
                <v:fill on="f" focussize="0,0"/>
                <v:stroke color="#000000" joinstyle="round"/>
                <v:imagedata o:title=""/>
                <o:lock v:ext="edit" aspectratio="f"/>
              </v:line>
            </w:pict>
          </mc:Fallback>
        </mc:AlternateContent>
      </w:r>
      <w:r>
        <w:rPr>
          <w:rFonts w:hint="eastAsia" w:ascii="仿宋" w:hAnsi="仿宋" w:eastAsia="仿宋"/>
          <w:color w:val="auto"/>
          <w:sz w:val="32"/>
          <w:szCs w:val="32"/>
          <w:lang w:val="en-US" w:eastAsia="zh-CN"/>
        </w:rPr>
        <w:t xml:space="preserve">    </w:t>
      </w:r>
    </w:p>
    <w:p>
      <w:pPr>
        <w:pStyle w:val="2"/>
        <w:keepNext w:val="0"/>
        <w:keepLines w:val="0"/>
        <w:pageBreakBefore w:val="0"/>
        <w:widowControl/>
        <w:kinsoku/>
        <w:wordWrap/>
        <w:overflowPunct/>
        <w:topLinePunct w:val="0"/>
        <w:autoSpaceDE/>
        <w:autoSpaceDN/>
        <w:bidi w:val="0"/>
        <w:adjustRightInd/>
        <w:snapToGrid/>
        <w:spacing w:after="0" w:line="560" w:lineRule="exact"/>
        <w:jc w:val="center"/>
        <w:rPr>
          <w:rFonts w:hint="eastAsia" w:ascii="方正小标宋简体" w:hAnsi="方正小标宋简体" w:eastAsia="方正小标宋简体" w:cs="Times New Roman"/>
          <w:bCs/>
          <w:kern w:val="0"/>
          <w:sz w:val="44"/>
          <w:szCs w:val="44"/>
          <w:lang w:val="en-US" w:eastAsia="zh-CN" w:bidi="ar-SA"/>
        </w:rPr>
      </w:pPr>
      <w:r>
        <w:rPr>
          <w:rFonts w:hint="eastAsia" w:ascii="方正小标宋简体" w:hAnsi="方正小标宋简体" w:eastAsia="方正小标宋简体" w:cs="Times New Roman"/>
          <w:bCs/>
          <w:kern w:val="0"/>
          <w:sz w:val="44"/>
          <w:szCs w:val="44"/>
          <w:lang w:val="en-US" w:eastAsia="zh-CN" w:bidi="ar-SA"/>
        </w:rPr>
        <w:t>邵阳市本级城镇职工大病保险承办服务项目</w:t>
      </w:r>
    </w:p>
    <w:p>
      <w:pPr>
        <w:pStyle w:val="2"/>
        <w:keepNext w:val="0"/>
        <w:keepLines w:val="0"/>
        <w:pageBreakBefore w:val="0"/>
        <w:widowControl/>
        <w:kinsoku/>
        <w:wordWrap/>
        <w:overflowPunct/>
        <w:topLinePunct w:val="0"/>
        <w:autoSpaceDE/>
        <w:autoSpaceDN/>
        <w:bidi w:val="0"/>
        <w:adjustRightInd/>
        <w:snapToGrid/>
        <w:spacing w:after="0" w:line="560" w:lineRule="exact"/>
        <w:jc w:val="center"/>
        <w:rPr>
          <w:rFonts w:hint="eastAsia" w:ascii="方正小标宋简体" w:hAnsi="方正小标宋简体" w:eastAsia="方正小标宋简体" w:cs="Times New Roman"/>
          <w:bCs/>
          <w:kern w:val="0"/>
          <w:sz w:val="44"/>
          <w:szCs w:val="44"/>
          <w:lang w:val="en-US" w:eastAsia="zh-CN" w:bidi="ar-SA"/>
        </w:rPr>
      </w:pPr>
      <w:r>
        <w:rPr>
          <w:rFonts w:hint="eastAsia" w:ascii="方正小标宋简体" w:hAnsi="方正小标宋简体" w:eastAsia="方正小标宋简体" w:cs="Times New Roman"/>
          <w:bCs/>
          <w:kern w:val="0"/>
          <w:sz w:val="44"/>
          <w:szCs w:val="44"/>
          <w:lang w:val="en-US" w:eastAsia="zh-CN" w:bidi="ar-SA"/>
        </w:rPr>
        <w:t>绩效评价报告</w:t>
      </w:r>
    </w:p>
    <w:p>
      <w:pPr>
        <w:rPr>
          <w:rFonts w:hint="eastAsia"/>
          <w:lang w:val="en-US" w:eastAsia="zh-CN"/>
        </w:rPr>
      </w:pPr>
    </w:p>
    <w:p>
      <w:pPr>
        <w:pStyle w:val="19"/>
        <w:keepNext w:val="0"/>
        <w:keepLines w:val="0"/>
        <w:pageBreakBefore w:val="0"/>
        <w:widowControl/>
        <w:kinsoku/>
        <w:wordWrap/>
        <w:overflowPunct/>
        <w:topLinePunct w:val="0"/>
        <w:autoSpaceDE/>
        <w:autoSpaceDN/>
        <w:bidi w:val="0"/>
        <w:adjustRightInd/>
        <w:snapToGrid/>
        <w:spacing w:after="0" w:line="600" w:lineRule="exact"/>
        <w:ind w:firstLine="960" w:firstLineChars="300"/>
        <w:textAlignment w:val="auto"/>
        <w:rPr>
          <w:rFonts w:hint="default" w:ascii="Times New Roman" w:hAnsi="Times New Roman" w:eastAsia="仿宋_GB2312" w:cs="Times New Roman"/>
          <w:kern w:val="2"/>
          <w:sz w:val="32"/>
          <w:szCs w:val="32"/>
          <w:highlight w:val="red"/>
          <w:lang w:val="en-US" w:eastAsia="zh-CN" w:bidi="ar-SA"/>
        </w:rPr>
      </w:pPr>
      <w:r>
        <w:rPr>
          <w:rFonts w:hint="eastAsia" w:ascii="Times New Roman" w:hAnsi="Times New Roman" w:eastAsia="仿宋_GB2312" w:cs="Times New Roman"/>
          <w:kern w:val="2"/>
          <w:sz w:val="32"/>
          <w:szCs w:val="32"/>
          <w:highlight w:val="none"/>
          <w:lang w:val="en-US" w:eastAsia="zh-CN" w:bidi="ar-SA"/>
        </w:rPr>
        <w:t>根据《中共中央 国务院关于全面实施预算绩效管理的意见》（中发</w:t>
      </w:r>
      <w:r>
        <w:rPr>
          <w:rFonts w:hint="default" w:ascii="Times New Roman" w:hAnsi="Times New Roman" w:eastAsia="仿宋_GB2312" w:cs="Times New Roman"/>
          <w:kern w:val="2"/>
          <w:sz w:val="32"/>
          <w:szCs w:val="32"/>
          <w:highlight w:val="none"/>
          <w:lang w:val="en-US" w:eastAsia="zh-CN" w:bidi="ar-SA"/>
        </w:rPr>
        <w:t>〔2018〕34</w:t>
      </w:r>
      <w:r>
        <w:rPr>
          <w:rFonts w:hint="eastAsia" w:ascii="Times New Roman" w:hAnsi="Times New Roman" w:eastAsia="仿宋_GB2312" w:cs="Times New Roman"/>
          <w:kern w:val="2"/>
          <w:sz w:val="32"/>
          <w:szCs w:val="32"/>
          <w:highlight w:val="none"/>
          <w:lang w:val="en-US" w:eastAsia="zh-CN" w:bidi="ar-SA"/>
        </w:rPr>
        <w:t>号）、《中共湖南省委办公厅 湖南省人民政府办公 厅关于全面实施预算绩效管理的实施意见》（湘办发〔</w:t>
      </w:r>
      <w:r>
        <w:rPr>
          <w:rFonts w:hint="default" w:ascii="Times New Roman" w:hAnsi="Times New Roman" w:eastAsia="仿宋_GB2312" w:cs="Times New Roman"/>
          <w:kern w:val="2"/>
          <w:sz w:val="32"/>
          <w:szCs w:val="32"/>
          <w:highlight w:val="none"/>
          <w:lang w:val="en-US" w:eastAsia="zh-CN" w:bidi="ar-SA"/>
        </w:rPr>
        <w:t>2019</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10</w:t>
      </w:r>
      <w:r>
        <w:rPr>
          <w:rFonts w:hint="eastAsia" w:ascii="Times New Roman" w:hAnsi="Times New Roman" w:eastAsia="仿宋_GB2312" w:cs="Times New Roman"/>
          <w:kern w:val="2"/>
          <w:sz w:val="32"/>
          <w:szCs w:val="32"/>
          <w:highlight w:val="none"/>
          <w:lang w:val="en-US" w:eastAsia="zh-CN" w:bidi="ar-SA"/>
        </w:rPr>
        <w:t>号）和《湖南省财政厅关于印发湖南省预算支出绩效评价管理办法的通知》（湘财绩〔</w:t>
      </w:r>
      <w:r>
        <w:rPr>
          <w:rFonts w:hint="default" w:ascii="Times New Roman" w:hAnsi="Times New Roman" w:eastAsia="仿宋_GB2312" w:cs="Times New Roman"/>
          <w:kern w:val="2"/>
          <w:sz w:val="32"/>
          <w:szCs w:val="32"/>
          <w:highlight w:val="none"/>
          <w:lang w:val="en-US" w:eastAsia="zh-CN" w:bidi="ar-SA"/>
        </w:rPr>
        <w:t>2020</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7</w:t>
      </w:r>
      <w:r>
        <w:rPr>
          <w:rFonts w:hint="eastAsia" w:ascii="Times New Roman" w:hAnsi="Times New Roman" w:eastAsia="仿宋_GB2312" w:cs="Times New Roman"/>
          <w:kern w:val="2"/>
          <w:sz w:val="32"/>
          <w:szCs w:val="32"/>
          <w:highlight w:val="none"/>
          <w:lang w:val="en-US" w:eastAsia="zh-CN" w:bidi="ar-SA"/>
        </w:rPr>
        <w:t>号）等有关文件精神，为拓宽预算绩效管评价范围，加快建成全方位、全过程、全覆盖的预算绩效管理体系，按照《邵阳市财政局关于开展</w:t>
      </w:r>
      <w:r>
        <w:rPr>
          <w:rFonts w:hint="default" w:ascii="Times New Roman" w:hAnsi="Times New Roman" w:eastAsia="仿宋_GB2312" w:cs="Times New Roman"/>
          <w:kern w:val="2"/>
          <w:sz w:val="32"/>
          <w:szCs w:val="32"/>
          <w:highlight w:val="none"/>
          <w:lang w:val="en-US" w:eastAsia="zh-CN" w:bidi="ar-SA"/>
        </w:rPr>
        <w:t>2021</w:t>
      </w:r>
      <w:r>
        <w:rPr>
          <w:rFonts w:hint="eastAsia" w:ascii="Times New Roman" w:hAnsi="Times New Roman" w:eastAsia="仿宋_GB2312" w:cs="Times New Roman"/>
          <w:kern w:val="2"/>
          <w:sz w:val="32"/>
          <w:szCs w:val="32"/>
          <w:highlight w:val="none"/>
          <w:lang w:val="en-US" w:eastAsia="zh-CN" w:bidi="ar-SA"/>
        </w:rPr>
        <w:t>年邵阳市本级城镇职工大病保险承办服务项目绩效评价工作的通知》（邵财绩〔2022〕7号）要求，湖南南方会计师事务所有限责任公司成立绩效评价工作组，</w:t>
      </w:r>
      <w:r>
        <w:rPr>
          <w:rFonts w:hint="eastAsia" w:ascii="仿宋_GB2312" w:hAnsi="仿宋" w:eastAsia="仿宋_GB2312"/>
          <w:spacing w:val="-8"/>
          <w:sz w:val="32"/>
          <w:szCs w:val="32"/>
        </w:rPr>
        <w:t>遵循“科学性、规范性、客观性和公正性”的原则，</w:t>
      </w:r>
      <w:r>
        <w:rPr>
          <w:rFonts w:hint="eastAsia" w:ascii="Times New Roman" w:hAnsi="Times New Roman" w:eastAsia="仿宋_GB2312" w:cs="Times New Roman"/>
          <w:kern w:val="2"/>
          <w:sz w:val="32"/>
          <w:szCs w:val="32"/>
          <w:highlight w:val="none"/>
          <w:lang w:val="en-US" w:eastAsia="zh-CN" w:bidi="ar-SA"/>
        </w:rPr>
        <w:t>对</w:t>
      </w:r>
      <w:r>
        <w:rPr>
          <w:rFonts w:hint="default" w:ascii="Times New Roman" w:hAnsi="Times New Roman" w:eastAsia="仿宋_GB2312" w:cs="Times New Roman"/>
          <w:kern w:val="2"/>
          <w:sz w:val="32"/>
          <w:szCs w:val="32"/>
          <w:highlight w:val="none"/>
          <w:lang w:val="en-US" w:eastAsia="zh-CN" w:bidi="ar-SA"/>
        </w:rPr>
        <w:t>2021</w:t>
      </w:r>
      <w:r>
        <w:rPr>
          <w:rFonts w:hint="eastAsia" w:ascii="Times New Roman" w:hAnsi="Times New Roman" w:eastAsia="仿宋_GB2312" w:cs="Times New Roman"/>
          <w:kern w:val="2"/>
          <w:sz w:val="32"/>
          <w:szCs w:val="32"/>
          <w:highlight w:val="none"/>
          <w:lang w:val="en-US" w:eastAsia="zh-CN" w:bidi="ar-SA"/>
        </w:rPr>
        <w:t>年邵阳市本级城镇职工大病保险承办服务项目进行评价，现将评价情况报告如下：</w:t>
      </w:r>
    </w:p>
    <w:p>
      <w:pPr>
        <w:pStyle w:val="2"/>
        <w:keepNext w:val="0"/>
        <w:keepLines w:val="0"/>
        <w:pageBreakBefore w:val="0"/>
        <w:widowControl/>
        <w:kinsoku/>
        <w:wordWrap/>
        <w:overflowPunct/>
        <w:topLinePunct w:val="0"/>
        <w:autoSpaceDE/>
        <w:autoSpaceDN/>
        <w:bidi w:val="0"/>
        <w:adjustRightInd/>
        <w:snapToGrid/>
        <w:spacing w:after="0" w:line="560" w:lineRule="exact"/>
        <w:ind w:leftChars="0" w:firstLine="640" w:firstLineChars="200"/>
        <w:jc w:val="both"/>
        <w:textAlignment w:val="auto"/>
        <w:rPr>
          <w:rFonts w:hint="default"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rPr>
        <w:t>一、项目基本情况</w:t>
      </w:r>
      <w:r>
        <w:rPr>
          <w:rFonts w:hint="eastAsia" w:ascii="黑体" w:hAnsi="黑体" w:eastAsia="宋体" w:cs="黑体"/>
          <w:b w:val="0"/>
          <w:bCs w:val="0"/>
          <w:sz w:val="32"/>
          <w:szCs w:val="32"/>
          <w:highlight w:val="none"/>
          <w:lang w:val="en-US" w:eastAsia="zh-CN"/>
        </w:rPr>
        <w:t xml:space="preserve"> </w:t>
      </w:r>
    </w:p>
    <w:p>
      <w:pPr>
        <w:pStyle w:val="2"/>
        <w:keepNext w:val="0"/>
        <w:keepLines w:val="0"/>
        <w:pageBreakBefore w:val="0"/>
        <w:widowControl/>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rPr>
        <w:t>（一）</w:t>
      </w:r>
      <w:r>
        <w:rPr>
          <w:rFonts w:hint="eastAsia" w:ascii="楷体" w:hAnsi="楷体" w:eastAsia="楷体" w:cs="楷体"/>
          <w:b/>
          <w:bCs/>
          <w:sz w:val="32"/>
          <w:szCs w:val="32"/>
          <w:highlight w:val="none"/>
          <w:lang w:val="en-US" w:eastAsia="zh-CN"/>
        </w:rPr>
        <w:t>立项背景</w:t>
      </w:r>
    </w:p>
    <w:p>
      <w:pPr>
        <w:pStyle w:val="2"/>
        <w:keepNext w:val="0"/>
        <w:keepLines w:val="0"/>
        <w:pageBreakBefore w:val="0"/>
        <w:widowControl/>
        <w:kinsoku/>
        <w:wordWrap/>
        <w:overflowPunct/>
        <w:topLinePunct w:val="0"/>
        <w:autoSpaceDE/>
        <w:autoSpaceDN/>
        <w:bidi w:val="0"/>
        <w:adjustRightInd/>
        <w:snapToGrid/>
        <w:spacing w:after="0" w:line="60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目前，我国建立了覆盖城乡全体居民的基本医疗保障制度。城镇企业职工按照属地原则，和用人单位按规定共同缴费，参加职工基本医疗保险；无雇工的个体工商户、未在用人单位参加职工基本医疗保险的非全日制从业人员以及其他灵活就业人员参加职工基本医疗保险，也可以参加城镇居民基本医疗保险或新农村合作医疗；农村户籍人口可参加新型农村合作医疗；城镇学生、少年儿童和其他非从业城镇居民可参加城镇居民基本医疗保险。职工基本医疗保险通过职工大额医疗费用补助、企业补充医疗保险等形式，保障参保人员患大病时的医疗费用。国家自2012年起建立城乡居民大病保险制度，从城乡居民基本医保基金中划出一定比例或额度作为大病保险资金，对经城镇居民医保、新农合补偿后需个人负担的高额医疗费用给予保障。现城乡居民大病保险已覆盖所有参加城镇居民基本医疗保险和新型农村合作医疗的参保人员。</w:t>
      </w:r>
    </w:p>
    <w:p>
      <w:pPr>
        <w:pStyle w:val="2"/>
        <w:keepNext w:val="0"/>
        <w:keepLines w:val="0"/>
        <w:pageBreakBefore w:val="0"/>
        <w:widowControl/>
        <w:kinsoku/>
        <w:wordWrap/>
        <w:overflowPunct/>
        <w:topLinePunct w:val="0"/>
        <w:autoSpaceDE/>
        <w:autoSpaceDN/>
        <w:bidi w:val="0"/>
        <w:adjustRightInd/>
        <w:snapToGrid/>
        <w:spacing w:after="0" w:line="600" w:lineRule="exact"/>
        <w:ind w:leftChars="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国家十三五规划明确：为建立健全全民医疗保障体系，国家鼓励商业保险机构参与医保经办，鼓励发展补充医疗保险和商业健康保险。</w:t>
      </w:r>
      <w:r>
        <w:rPr>
          <w:rFonts w:hint="default" w:ascii="Times New Roman" w:hAnsi="Times New Roman" w:eastAsia="仿宋_GB2312" w:cs="Times New Roman"/>
          <w:kern w:val="2"/>
          <w:sz w:val="32"/>
          <w:szCs w:val="32"/>
          <w:lang w:val="en-US" w:eastAsia="zh-CN" w:bidi="ar-SA"/>
        </w:rPr>
        <w:t>根据</w:t>
      </w:r>
      <w:r>
        <w:rPr>
          <w:rFonts w:hint="default" w:ascii="Times New Roman" w:hAnsi="Times New Roman" w:eastAsia="仿宋_GB2312" w:cs="Times New Roman"/>
          <w:b w:val="0"/>
          <w:bCs w:val="0"/>
          <w:color w:val="auto"/>
          <w:kern w:val="2"/>
          <w:sz w:val="32"/>
          <w:szCs w:val="32"/>
          <w:lang w:val="en-US" w:eastAsia="zh-CN" w:bidi="ar-SA"/>
        </w:rPr>
        <w:t>《中共中央国务院关于深化医疗保障制度改革的意见》、《中共湖南省委湖南省人民政府关于深化医疗保障制度改革的实施意见》、湖南省人力资源和社会保障厅、湖南省财政厅《关于调整城镇职工医疗保险政策有关问题的通知》（湘人社发</w:t>
      </w:r>
      <w:r>
        <w:rPr>
          <w:rFonts w:hint="eastAsia" w:ascii="Times New Roman" w:hAnsi="Times New Roman" w:eastAsia="仿宋_GB2312" w:cs="Times New Roman"/>
          <w:b w:val="0"/>
          <w:bCs w:val="0"/>
          <w:color w:val="auto"/>
          <w:kern w:val="2"/>
          <w:sz w:val="32"/>
          <w:szCs w:val="32"/>
          <w:lang w:val="en-US" w:eastAsia="en-US" w:bidi="ar-SA"/>
        </w:rPr>
        <w:t>〔</w:t>
      </w:r>
      <w:r>
        <w:rPr>
          <w:rFonts w:hint="default" w:ascii="Times New Roman" w:hAnsi="Times New Roman" w:eastAsia="仿宋_GB2312" w:cs="Times New Roman"/>
          <w:b w:val="0"/>
          <w:bCs w:val="0"/>
          <w:color w:val="auto"/>
          <w:kern w:val="2"/>
          <w:sz w:val="32"/>
          <w:szCs w:val="32"/>
          <w:lang w:val="en-US" w:eastAsia="zh-CN" w:bidi="ar-SA"/>
        </w:rPr>
        <w:t>2016</w:t>
      </w:r>
      <w:r>
        <w:rPr>
          <w:rFonts w:hint="eastAsia" w:ascii="Times New Roman" w:hAnsi="Times New Roman" w:eastAsia="仿宋_GB2312" w:cs="Times New Roman"/>
          <w:b w:val="0"/>
          <w:bCs w:val="0"/>
          <w:color w:val="auto"/>
          <w:kern w:val="2"/>
          <w:sz w:val="32"/>
          <w:szCs w:val="32"/>
          <w:lang w:val="en-US" w:eastAsia="en-US" w:bidi="ar-SA"/>
        </w:rPr>
        <w:t>〕</w:t>
      </w:r>
      <w:r>
        <w:rPr>
          <w:rFonts w:hint="default" w:ascii="Times New Roman" w:hAnsi="Times New Roman" w:eastAsia="仿宋_GB2312" w:cs="Times New Roman"/>
          <w:b w:val="0"/>
          <w:bCs w:val="0"/>
          <w:color w:val="auto"/>
          <w:kern w:val="2"/>
          <w:sz w:val="32"/>
          <w:szCs w:val="32"/>
          <w:lang w:val="en-US" w:eastAsia="zh-CN" w:bidi="ar-SA"/>
        </w:rPr>
        <w:t>4号）、邵阳市人力资源和社会保障局 邵阳市财政局《关于调整职工医疗保险有关标准的通知》（邵人社发</w:t>
      </w:r>
      <w:r>
        <w:rPr>
          <w:rFonts w:hint="eastAsia" w:ascii="Times New Roman" w:hAnsi="Times New Roman" w:eastAsia="仿宋_GB2312" w:cs="Times New Roman"/>
          <w:b w:val="0"/>
          <w:bCs w:val="0"/>
          <w:color w:val="auto"/>
          <w:kern w:val="2"/>
          <w:sz w:val="32"/>
          <w:szCs w:val="32"/>
          <w:lang w:val="en-US" w:eastAsia="en-US" w:bidi="ar-SA"/>
        </w:rPr>
        <w:t>〔</w:t>
      </w:r>
      <w:r>
        <w:rPr>
          <w:rFonts w:hint="default" w:ascii="Times New Roman" w:hAnsi="Times New Roman" w:eastAsia="仿宋_GB2312" w:cs="Times New Roman"/>
          <w:b w:val="0"/>
          <w:bCs w:val="0"/>
          <w:color w:val="auto"/>
          <w:kern w:val="2"/>
          <w:sz w:val="32"/>
          <w:szCs w:val="32"/>
          <w:lang w:val="en-US" w:eastAsia="zh-CN" w:bidi="ar-SA"/>
        </w:rPr>
        <w:t>2016</w:t>
      </w:r>
      <w:r>
        <w:rPr>
          <w:rFonts w:hint="eastAsia" w:ascii="Times New Roman" w:hAnsi="Times New Roman" w:eastAsia="仿宋_GB2312" w:cs="Times New Roman"/>
          <w:b w:val="0"/>
          <w:bCs w:val="0"/>
          <w:color w:val="auto"/>
          <w:kern w:val="2"/>
          <w:sz w:val="32"/>
          <w:szCs w:val="32"/>
          <w:lang w:val="en-US" w:eastAsia="en-US" w:bidi="ar-SA"/>
        </w:rPr>
        <w:t>〕</w:t>
      </w:r>
      <w:r>
        <w:rPr>
          <w:rFonts w:hint="default" w:ascii="Times New Roman" w:hAnsi="Times New Roman" w:eastAsia="仿宋_GB2312" w:cs="Times New Roman"/>
          <w:b w:val="0"/>
          <w:bCs w:val="0"/>
          <w:color w:val="auto"/>
          <w:kern w:val="2"/>
          <w:sz w:val="32"/>
          <w:szCs w:val="32"/>
          <w:lang w:val="en-US" w:eastAsia="zh-CN" w:bidi="ar-SA"/>
        </w:rPr>
        <w:t>8号）等文件精神，</w:t>
      </w:r>
      <w:r>
        <w:rPr>
          <w:rFonts w:hint="eastAsia" w:ascii="Times New Roman" w:hAnsi="Times New Roman" w:eastAsia="仿宋_GB2312" w:cs="Times New Roman"/>
          <w:b w:val="0"/>
          <w:bCs w:val="0"/>
          <w:color w:val="auto"/>
          <w:kern w:val="2"/>
          <w:sz w:val="32"/>
          <w:szCs w:val="32"/>
          <w:lang w:val="en-US" w:eastAsia="zh-CN" w:bidi="ar-SA"/>
        </w:rPr>
        <w:t>邵阳市医疗保障局（以下简称“市医保局”）设立了</w:t>
      </w:r>
      <w:r>
        <w:rPr>
          <w:rFonts w:hint="default" w:ascii="Times New Roman" w:hAnsi="Times New Roman" w:eastAsia="仿宋_GB2312" w:cs="Times New Roman"/>
          <w:b w:val="0"/>
          <w:bCs w:val="0"/>
          <w:color w:val="auto"/>
          <w:kern w:val="2"/>
          <w:sz w:val="32"/>
          <w:szCs w:val="32"/>
          <w:lang w:val="en-US" w:eastAsia="zh-CN" w:bidi="ar-SA"/>
        </w:rPr>
        <w:t>邵阳市本级城镇职工</w:t>
      </w:r>
      <w:r>
        <w:rPr>
          <w:rFonts w:hint="eastAsia" w:ascii="Times New Roman" w:hAnsi="Times New Roman" w:eastAsia="仿宋_GB2312" w:cs="Times New Roman"/>
          <w:b w:val="0"/>
          <w:bCs w:val="0"/>
          <w:color w:val="auto"/>
          <w:kern w:val="2"/>
          <w:sz w:val="32"/>
          <w:szCs w:val="32"/>
          <w:lang w:val="en-US" w:eastAsia="zh-CN" w:bidi="ar-SA"/>
        </w:rPr>
        <w:t>大病保险承办服务项目，</w:t>
      </w:r>
      <w:r>
        <w:rPr>
          <w:rFonts w:hint="eastAsia" w:ascii="Times New Roman" w:hAnsi="Times New Roman" w:eastAsia="仿宋_GB2312" w:cs="Times New Roman"/>
          <w:kern w:val="2"/>
          <w:sz w:val="32"/>
          <w:szCs w:val="32"/>
          <w:lang w:val="en-US" w:eastAsia="zh-CN" w:bidi="ar-SA"/>
        </w:rPr>
        <w:t>由邵阳市医疗保障事务中心（以下简称“市医保中心”）负责实施，通过政府采购，确定本项目的承办服务供应商。</w:t>
      </w:r>
    </w:p>
    <w:p>
      <w:pPr>
        <w:pStyle w:val="138"/>
        <w:keepNext w:val="0"/>
        <w:keepLines w:val="0"/>
        <w:pageBreakBefore w:val="0"/>
        <w:widowControl w:val="0"/>
        <w:numPr>
          <w:ilvl w:val="0"/>
          <w:numId w:val="7"/>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组织实施</w:t>
      </w:r>
    </w:p>
    <w:p>
      <w:pPr>
        <w:pStyle w:val="138"/>
        <w:keepNext w:val="0"/>
        <w:keepLines w:val="0"/>
        <w:pageBreakBefore w:val="0"/>
        <w:widowControl w:val="0"/>
        <w:numPr>
          <w:ilvl w:val="0"/>
          <w:numId w:val="8"/>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仿宋_GB2312" w:hAnsi="仿宋" w:eastAsia="仿宋_GB2312"/>
          <w:spacing w:val="-8"/>
          <w:sz w:val="32"/>
          <w:szCs w:val="32"/>
          <w:lang w:val="en-US" w:eastAsia="zh-CN"/>
        </w:rPr>
      </w:pPr>
      <w:r>
        <w:rPr>
          <w:rFonts w:hint="eastAsia" w:ascii="楷体" w:hAnsi="楷体" w:eastAsia="楷体" w:cs="楷体"/>
          <w:b/>
          <w:bCs/>
          <w:sz w:val="32"/>
          <w:szCs w:val="32"/>
          <w:highlight w:val="none"/>
          <w:lang w:val="en-US" w:eastAsia="zh-CN" w:bidi="ar-SA"/>
        </w:rPr>
        <w:t>招标过程。</w:t>
      </w:r>
      <w:r>
        <w:rPr>
          <w:rFonts w:hint="eastAsia" w:ascii="仿宋_GB2312" w:hAnsi="仿宋" w:eastAsia="仿宋_GB2312"/>
          <w:spacing w:val="-8"/>
          <w:sz w:val="32"/>
          <w:szCs w:val="32"/>
          <w:lang w:val="en-US" w:eastAsia="zh-CN"/>
        </w:rPr>
        <w:t>2021年1月15日，市医保中心通过召开中心主任会议，商议选择了工作业绩较好、成立时间最早的中达安股份有限公司作为招标代理机构，委托其办理招标事宜；</w:t>
      </w:r>
      <w:r>
        <w:rPr>
          <w:rFonts w:hint="eastAsia" w:ascii="仿宋_GB2312" w:hAnsi="仿宋" w:eastAsia="仿宋_GB2312"/>
          <w:spacing w:val="-8"/>
          <w:sz w:val="32"/>
          <w:szCs w:val="32"/>
        </w:rPr>
        <w:t>202</w:t>
      </w:r>
      <w:r>
        <w:rPr>
          <w:rFonts w:hint="eastAsia" w:ascii="仿宋_GB2312" w:hAnsi="仿宋" w:eastAsia="仿宋_GB2312"/>
          <w:spacing w:val="-8"/>
          <w:sz w:val="32"/>
          <w:szCs w:val="32"/>
          <w:lang w:val="en-US" w:eastAsia="zh-CN"/>
        </w:rPr>
        <w:t>1</w:t>
      </w:r>
      <w:r>
        <w:rPr>
          <w:rFonts w:hint="eastAsia" w:ascii="仿宋_GB2312" w:hAnsi="仿宋" w:eastAsia="仿宋_GB2312"/>
          <w:spacing w:val="-8"/>
          <w:sz w:val="32"/>
          <w:szCs w:val="32"/>
        </w:rPr>
        <w:t>年</w:t>
      </w:r>
      <w:r>
        <w:rPr>
          <w:rFonts w:hint="eastAsia" w:ascii="仿宋_GB2312" w:hAnsi="仿宋" w:eastAsia="仿宋_GB2312"/>
          <w:spacing w:val="-8"/>
          <w:sz w:val="32"/>
          <w:szCs w:val="32"/>
          <w:lang w:val="en-US" w:eastAsia="zh-CN"/>
        </w:rPr>
        <w:t>市医保中心</w:t>
      </w:r>
      <w:r>
        <w:rPr>
          <w:rFonts w:hint="eastAsia" w:ascii="仿宋_GB2312" w:hAnsi="仿宋" w:eastAsia="仿宋_GB2312"/>
          <w:spacing w:val="-8"/>
          <w:sz w:val="32"/>
          <w:szCs w:val="32"/>
        </w:rPr>
        <w:t>申请本项目</w:t>
      </w:r>
      <w:r>
        <w:rPr>
          <w:rFonts w:hint="eastAsia" w:ascii="仿宋_GB2312" w:hAnsi="仿宋" w:eastAsia="仿宋_GB2312"/>
          <w:spacing w:val="-8"/>
          <w:sz w:val="32"/>
          <w:szCs w:val="32"/>
          <w:lang w:val="en-US" w:eastAsia="zh-CN"/>
        </w:rPr>
        <w:t>采购资金不冻结</w:t>
      </w:r>
      <w:r>
        <w:rPr>
          <w:rFonts w:hint="eastAsia" w:ascii="仿宋_GB2312" w:hAnsi="仿宋" w:eastAsia="仿宋_GB2312"/>
          <w:spacing w:val="-8"/>
          <w:sz w:val="32"/>
          <w:szCs w:val="32"/>
        </w:rPr>
        <w:t>，市</w:t>
      </w:r>
      <w:r>
        <w:rPr>
          <w:rFonts w:hint="eastAsia" w:ascii="仿宋_GB2312" w:hAnsi="仿宋" w:eastAsia="仿宋_GB2312"/>
          <w:spacing w:val="-8"/>
          <w:sz w:val="32"/>
          <w:szCs w:val="32"/>
          <w:lang w:val="en-US" w:eastAsia="zh-CN"/>
        </w:rPr>
        <w:t>医保局</w:t>
      </w:r>
      <w:r>
        <w:rPr>
          <w:rFonts w:hint="eastAsia" w:ascii="仿宋_GB2312" w:hAnsi="仿宋" w:eastAsia="仿宋_GB2312"/>
          <w:spacing w:val="-8"/>
          <w:sz w:val="32"/>
          <w:szCs w:val="32"/>
        </w:rPr>
        <w:t>于同年</w:t>
      </w:r>
      <w:r>
        <w:rPr>
          <w:rFonts w:hint="eastAsia" w:ascii="仿宋_GB2312" w:hAnsi="仿宋" w:eastAsia="仿宋_GB2312"/>
          <w:spacing w:val="-8"/>
          <w:sz w:val="32"/>
          <w:szCs w:val="32"/>
          <w:lang w:val="en-US" w:eastAsia="zh-CN"/>
        </w:rPr>
        <w:t>1</w:t>
      </w:r>
      <w:r>
        <w:rPr>
          <w:rFonts w:hint="eastAsia" w:ascii="仿宋_GB2312" w:hAnsi="仿宋" w:eastAsia="仿宋_GB2312"/>
          <w:spacing w:val="-8"/>
          <w:sz w:val="32"/>
          <w:szCs w:val="32"/>
        </w:rPr>
        <w:t>月</w:t>
      </w:r>
      <w:r>
        <w:rPr>
          <w:rFonts w:hint="eastAsia" w:ascii="仿宋_GB2312" w:hAnsi="仿宋" w:eastAsia="仿宋_GB2312"/>
          <w:spacing w:val="-8"/>
          <w:sz w:val="32"/>
          <w:szCs w:val="32"/>
          <w:lang w:val="en-US" w:eastAsia="zh-CN"/>
        </w:rPr>
        <w:t>20</w:t>
      </w:r>
      <w:r>
        <w:rPr>
          <w:rFonts w:hint="eastAsia" w:ascii="仿宋_GB2312" w:hAnsi="仿宋" w:eastAsia="仿宋_GB2312"/>
          <w:spacing w:val="-8"/>
          <w:sz w:val="32"/>
          <w:szCs w:val="32"/>
        </w:rPr>
        <w:t>日批复</w:t>
      </w:r>
      <w:r>
        <w:rPr>
          <w:rFonts w:hint="eastAsia" w:ascii="仿宋_GB2312" w:hAnsi="仿宋" w:eastAsia="仿宋_GB2312"/>
          <w:spacing w:val="-8"/>
          <w:sz w:val="32"/>
          <w:szCs w:val="32"/>
          <w:lang w:val="en-US" w:eastAsia="zh-CN"/>
        </w:rPr>
        <w:t>同意；2021年2月1日，项目按照国家有关规定履行审批手续取得批准，申请采取公开招标的方式进行采购；2021年3月5日，在中国湖南政府采购网、邵阳市公共资源交易中心网站上发布项目招标公告。</w:t>
      </w:r>
    </w:p>
    <w:p>
      <w:pPr>
        <w:pStyle w:val="138"/>
        <w:keepNext w:val="0"/>
        <w:keepLines w:val="0"/>
        <w:pageBreakBefore w:val="0"/>
        <w:widowControl w:val="0"/>
        <w:numPr>
          <w:numId w:val="0"/>
        </w:numPr>
        <w:kinsoku/>
        <w:wordWrap/>
        <w:overflowPunct/>
        <w:topLinePunct w:val="0"/>
        <w:autoSpaceDE/>
        <w:autoSpaceDN/>
        <w:bidi w:val="0"/>
        <w:adjustRightInd/>
        <w:snapToGrid/>
        <w:spacing w:after="0" w:line="600" w:lineRule="exact"/>
        <w:ind w:leftChars="200"/>
        <w:jc w:val="both"/>
        <w:textAlignment w:val="auto"/>
        <w:rPr>
          <w:rFonts w:hint="eastAsia" w:ascii="仿宋_GB2312" w:hAnsi="仿宋" w:eastAsia="仿宋_GB2312"/>
          <w:spacing w:val="-8"/>
          <w:sz w:val="32"/>
          <w:szCs w:val="32"/>
          <w:lang w:val="en-US" w:eastAsia="zh-CN"/>
        </w:rPr>
      </w:pP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Chars="0" w:firstLine="643" w:firstLineChars="200"/>
        <w:jc w:val="both"/>
        <w:textAlignment w:val="auto"/>
        <w:rPr>
          <w:rFonts w:hint="default"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2、投标过程。</w:t>
      </w:r>
      <w:r>
        <w:rPr>
          <w:rFonts w:hint="eastAsia" w:ascii="仿宋_GB2312" w:hAnsi="仿宋" w:eastAsia="仿宋_GB2312"/>
          <w:spacing w:val="-8"/>
          <w:sz w:val="32"/>
          <w:szCs w:val="32"/>
          <w:lang w:val="en-US" w:eastAsia="zh-CN"/>
        </w:rPr>
        <w:t>投标人按照招标文件的要求编制投标文件，并按照招标文件确定的投标截止时间、地点和方式，将投标文件密封或者加密送达市医保中心、中达安股份有限公司。</w:t>
      </w:r>
      <w:r>
        <w:rPr>
          <w:rFonts w:hint="default" w:ascii="仿宋_GB2312" w:hAnsi="仿宋" w:eastAsia="仿宋_GB2312"/>
          <w:spacing w:val="-8"/>
          <w:sz w:val="32"/>
          <w:szCs w:val="32"/>
          <w:lang w:val="en-US" w:eastAsia="zh-CN"/>
        </w:rPr>
        <w:t>招标文件要求</w:t>
      </w:r>
      <w:r>
        <w:rPr>
          <w:rFonts w:hint="eastAsia" w:ascii="仿宋_GB2312" w:hAnsi="仿宋" w:eastAsia="仿宋_GB2312"/>
          <w:spacing w:val="-8"/>
          <w:sz w:val="32"/>
          <w:szCs w:val="32"/>
          <w:lang w:val="en-US" w:eastAsia="zh-CN"/>
        </w:rPr>
        <w:t>投</w:t>
      </w:r>
      <w:r>
        <w:rPr>
          <w:rFonts w:hint="default" w:ascii="仿宋_GB2312" w:hAnsi="仿宋" w:eastAsia="仿宋_GB2312"/>
          <w:spacing w:val="-8"/>
          <w:sz w:val="32"/>
          <w:szCs w:val="32"/>
          <w:lang w:val="en-US" w:eastAsia="zh-CN"/>
        </w:rPr>
        <w:t>标人提交履约保证金的，</w:t>
      </w:r>
      <w:r>
        <w:rPr>
          <w:rFonts w:hint="eastAsia" w:ascii="仿宋_GB2312" w:hAnsi="仿宋" w:eastAsia="仿宋_GB2312"/>
          <w:spacing w:val="-8"/>
          <w:sz w:val="32"/>
          <w:szCs w:val="32"/>
          <w:lang w:val="en-US" w:eastAsia="zh-CN"/>
        </w:rPr>
        <w:t>投</w:t>
      </w:r>
      <w:r>
        <w:rPr>
          <w:rFonts w:hint="default" w:ascii="仿宋_GB2312" w:hAnsi="仿宋" w:eastAsia="仿宋_GB2312"/>
          <w:spacing w:val="-8"/>
          <w:sz w:val="32"/>
          <w:szCs w:val="32"/>
          <w:lang w:val="en-US" w:eastAsia="zh-CN"/>
        </w:rPr>
        <w:t>标人应当</w:t>
      </w:r>
      <w:r>
        <w:rPr>
          <w:rFonts w:hint="eastAsia" w:ascii="仿宋_GB2312" w:hAnsi="仿宋" w:eastAsia="仿宋_GB2312"/>
          <w:spacing w:val="-8"/>
          <w:sz w:val="32"/>
          <w:szCs w:val="32"/>
          <w:lang w:val="en-US" w:eastAsia="zh-CN"/>
        </w:rPr>
        <w:t>及时</w:t>
      </w:r>
      <w:r>
        <w:rPr>
          <w:rFonts w:hint="default" w:ascii="仿宋_GB2312" w:hAnsi="仿宋" w:eastAsia="仿宋_GB2312"/>
          <w:spacing w:val="-8"/>
          <w:sz w:val="32"/>
          <w:szCs w:val="32"/>
          <w:lang w:val="en-US" w:eastAsia="zh-CN"/>
        </w:rPr>
        <w:t>提交</w:t>
      </w:r>
      <w:r>
        <w:rPr>
          <w:rFonts w:hint="eastAsia" w:ascii="仿宋_GB2312" w:hAnsi="仿宋" w:eastAsia="仿宋_GB2312"/>
          <w:spacing w:val="-8"/>
          <w:sz w:val="32"/>
          <w:szCs w:val="32"/>
          <w:lang w:val="en-US" w:eastAsia="zh-CN"/>
        </w:rPr>
        <w:t>。</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Chars="0" w:firstLine="643" w:firstLineChars="200"/>
        <w:jc w:val="both"/>
        <w:textAlignment w:val="auto"/>
        <w:rPr>
          <w:rFonts w:hint="default" w:ascii="仿宋_GB2312" w:hAnsi="仿宋" w:eastAsia="仿宋_GB2312"/>
          <w:spacing w:val="-8"/>
          <w:sz w:val="32"/>
          <w:szCs w:val="32"/>
          <w:lang w:val="en-US" w:eastAsia="zh-CN"/>
        </w:rPr>
      </w:pPr>
      <w:r>
        <w:rPr>
          <w:rFonts w:hint="eastAsia" w:ascii="楷体" w:hAnsi="楷体" w:eastAsia="楷体" w:cs="楷体"/>
          <w:b/>
          <w:bCs/>
          <w:sz w:val="32"/>
          <w:szCs w:val="32"/>
          <w:highlight w:val="none"/>
          <w:lang w:val="en-US" w:eastAsia="zh-CN" w:bidi="ar-SA"/>
        </w:rPr>
        <w:t>3、开标过程。</w:t>
      </w:r>
      <w:r>
        <w:rPr>
          <w:rFonts w:hint="eastAsia" w:ascii="仿宋_GB2312" w:hAnsi="仿宋" w:eastAsia="仿宋_GB2312"/>
          <w:spacing w:val="-8"/>
          <w:sz w:val="32"/>
          <w:szCs w:val="32"/>
          <w:lang w:val="en-US" w:eastAsia="zh-CN"/>
        </w:rPr>
        <w:t>2021年3月26日，市医保中心、中达安股份有限公司在</w:t>
      </w:r>
      <w:r>
        <w:rPr>
          <w:rFonts w:hint="default" w:ascii="仿宋_GB2312" w:hAnsi="仿宋" w:eastAsia="仿宋_GB2312"/>
          <w:spacing w:val="-8"/>
          <w:sz w:val="32"/>
          <w:szCs w:val="32"/>
          <w:lang w:val="en-US" w:eastAsia="zh-CN"/>
        </w:rPr>
        <w:t>邵阳市公共资源交易中心</w:t>
      </w:r>
      <w:r>
        <w:rPr>
          <w:rFonts w:hint="eastAsia" w:ascii="仿宋_GB2312" w:hAnsi="仿宋" w:eastAsia="仿宋_GB2312"/>
          <w:spacing w:val="-8"/>
          <w:sz w:val="32"/>
          <w:szCs w:val="32"/>
          <w:lang w:val="en-US" w:eastAsia="zh-CN"/>
        </w:rPr>
        <w:t>开标，</w:t>
      </w:r>
      <w:r>
        <w:rPr>
          <w:rFonts w:hint="default" w:ascii="仿宋_GB2312" w:hAnsi="仿宋" w:eastAsia="仿宋_GB2312"/>
          <w:spacing w:val="-8"/>
          <w:sz w:val="32"/>
          <w:szCs w:val="32"/>
          <w:lang w:val="en-US" w:eastAsia="zh-CN"/>
        </w:rPr>
        <w:t>由</w:t>
      </w:r>
      <w:r>
        <w:rPr>
          <w:rFonts w:hint="eastAsia" w:ascii="仿宋_GB2312" w:hAnsi="仿宋" w:eastAsia="仿宋_GB2312"/>
          <w:spacing w:val="-8"/>
          <w:sz w:val="32"/>
          <w:szCs w:val="32"/>
          <w:lang w:val="en-US" w:eastAsia="zh-CN"/>
        </w:rPr>
        <w:t>市医保中心</w:t>
      </w:r>
      <w:r>
        <w:rPr>
          <w:rFonts w:hint="default" w:ascii="仿宋_GB2312" w:hAnsi="仿宋" w:eastAsia="仿宋_GB2312"/>
          <w:spacing w:val="-8"/>
          <w:sz w:val="32"/>
          <w:szCs w:val="32"/>
          <w:lang w:val="en-US" w:eastAsia="zh-CN"/>
        </w:rPr>
        <w:t>主持，邀请所有投标人参加</w:t>
      </w:r>
      <w:r>
        <w:rPr>
          <w:rFonts w:hint="eastAsia" w:ascii="仿宋_GB2312" w:hAnsi="仿宋" w:eastAsia="仿宋_GB2312"/>
          <w:spacing w:val="-8"/>
          <w:sz w:val="32"/>
          <w:szCs w:val="32"/>
          <w:lang w:val="en-US" w:eastAsia="zh-CN"/>
        </w:rPr>
        <w:t>；并对</w:t>
      </w:r>
      <w:r>
        <w:rPr>
          <w:rFonts w:hint="default" w:ascii="仿宋_GB2312" w:hAnsi="仿宋" w:eastAsia="仿宋_GB2312"/>
          <w:spacing w:val="-8"/>
          <w:sz w:val="32"/>
          <w:szCs w:val="32"/>
          <w:lang w:val="en-US" w:eastAsia="zh-CN"/>
        </w:rPr>
        <w:t>开标过程</w:t>
      </w:r>
      <w:r>
        <w:rPr>
          <w:rFonts w:hint="eastAsia" w:ascii="仿宋_GB2312" w:hAnsi="仿宋" w:eastAsia="仿宋_GB2312"/>
          <w:spacing w:val="-8"/>
          <w:sz w:val="32"/>
          <w:szCs w:val="32"/>
          <w:lang w:val="en-US" w:eastAsia="zh-CN"/>
        </w:rPr>
        <w:t>进行了</w:t>
      </w:r>
      <w:r>
        <w:rPr>
          <w:rFonts w:hint="default" w:ascii="仿宋_GB2312" w:hAnsi="仿宋" w:eastAsia="仿宋_GB2312"/>
          <w:spacing w:val="-8"/>
          <w:sz w:val="32"/>
          <w:szCs w:val="32"/>
          <w:lang w:val="en-US" w:eastAsia="zh-CN"/>
        </w:rPr>
        <w:t>记录，存档备查。</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Chars="0" w:firstLine="643" w:firstLineChars="200"/>
        <w:jc w:val="both"/>
        <w:textAlignment w:val="auto"/>
        <w:rPr>
          <w:rFonts w:hint="default" w:ascii="仿宋_GB2312" w:hAnsi="仿宋" w:eastAsia="仿宋_GB2312"/>
          <w:spacing w:val="-8"/>
          <w:sz w:val="32"/>
          <w:szCs w:val="32"/>
          <w:lang w:val="en-US" w:eastAsia="zh-CN"/>
        </w:rPr>
      </w:pPr>
      <w:r>
        <w:rPr>
          <w:rFonts w:hint="eastAsia" w:ascii="楷体" w:hAnsi="楷体" w:eastAsia="楷体" w:cs="楷体"/>
          <w:b/>
          <w:bCs/>
          <w:sz w:val="32"/>
          <w:szCs w:val="32"/>
          <w:highlight w:val="none"/>
          <w:lang w:val="en-US" w:eastAsia="zh-CN" w:bidi="ar-SA"/>
        </w:rPr>
        <w:t>4、评标过程。</w:t>
      </w:r>
      <w:r>
        <w:rPr>
          <w:rFonts w:hint="default" w:ascii="仿宋_GB2312" w:hAnsi="仿宋" w:eastAsia="仿宋_GB2312"/>
          <w:spacing w:val="-8"/>
          <w:sz w:val="32"/>
          <w:szCs w:val="32"/>
          <w:lang w:val="en-US" w:eastAsia="zh-CN"/>
        </w:rPr>
        <w:t>评标</w:t>
      </w:r>
      <w:r>
        <w:rPr>
          <w:rFonts w:hint="eastAsia" w:ascii="仿宋_GB2312" w:hAnsi="仿宋" w:eastAsia="仿宋_GB2312"/>
          <w:spacing w:val="-8"/>
          <w:sz w:val="32"/>
          <w:szCs w:val="32"/>
          <w:lang w:val="en-US" w:eastAsia="zh-CN"/>
        </w:rPr>
        <w:t>工作</w:t>
      </w:r>
      <w:r>
        <w:rPr>
          <w:rFonts w:hint="default" w:ascii="仿宋_GB2312" w:hAnsi="仿宋" w:eastAsia="仿宋_GB2312"/>
          <w:spacing w:val="-8"/>
          <w:sz w:val="32"/>
          <w:szCs w:val="32"/>
          <w:lang w:val="en-US" w:eastAsia="zh-CN"/>
        </w:rPr>
        <w:t>由</w:t>
      </w:r>
      <w:r>
        <w:rPr>
          <w:rFonts w:hint="eastAsia" w:ascii="仿宋_GB2312" w:hAnsi="仿宋" w:eastAsia="仿宋_GB2312"/>
          <w:spacing w:val="-8"/>
          <w:sz w:val="32"/>
          <w:szCs w:val="32"/>
          <w:lang w:val="en-US" w:eastAsia="zh-CN"/>
        </w:rPr>
        <w:t>市医保中心</w:t>
      </w:r>
      <w:r>
        <w:rPr>
          <w:rFonts w:hint="default" w:ascii="仿宋_GB2312" w:hAnsi="仿宋" w:eastAsia="仿宋_GB2312"/>
          <w:spacing w:val="-8"/>
          <w:sz w:val="32"/>
          <w:szCs w:val="32"/>
          <w:lang w:val="en-US" w:eastAsia="zh-CN"/>
        </w:rPr>
        <w:t>依法组建的评标委员会负责</w:t>
      </w:r>
      <w:r>
        <w:rPr>
          <w:rFonts w:hint="eastAsia" w:ascii="仿宋_GB2312" w:hAnsi="仿宋" w:eastAsia="仿宋_GB2312"/>
          <w:spacing w:val="-8"/>
          <w:sz w:val="32"/>
          <w:szCs w:val="32"/>
          <w:lang w:val="en-US" w:eastAsia="zh-CN"/>
        </w:rPr>
        <w:t>。</w:t>
      </w:r>
      <w:r>
        <w:rPr>
          <w:rFonts w:hint="default" w:ascii="仿宋_GB2312" w:hAnsi="仿宋" w:eastAsia="仿宋_GB2312"/>
          <w:spacing w:val="-8"/>
          <w:sz w:val="32"/>
          <w:szCs w:val="32"/>
          <w:lang w:val="en-US" w:eastAsia="zh-CN"/>
        </w:rPr>
        <w:t>评标委员会</w:t>
      </w:r>
      <w:r>
        <w:rPr>
          <w:rFonts w:hint="eastAsia" w:ascii="仿宋_GB2312" w:hAnsi="仿宋" w:eastAsia="仿宋_GB2312"/>
          <w:spacing w:val="-8"/>
          <w:sz w:val="32"/>
          <w:szCs w:val="32"/>
          <w:lang w:val="en-US" w:eastAsia="zh-CN"/>
        </w:rPr>
        <w:t>在评标过程中，先</w:t>
      </w:r>
      <w:r>
        <w:rPr>
          <w:rFonts w:hint="default" w:ascii="仿宋_GB2312" w:hAnsi="仿宋" w:eastAsia="仿宋_GB2312"/>
          <w:spacing w:val="-8"/>
          <w:sz w:val="32"/>
          <w:szCs w:val="32"/>
          <w:lang w:val="en-US" w:eastAsia="zh-CN"/>
        </w:rPr>
        <w:t>对</w:t>
      </w:r>
      <w:r>
        <w:rPr>
          <w:rFonts w:hint="eastAsia" w:ascii="仿宋_GB2312" w:hAnsi="仿宋" w:eastAsia="仿宋_GB2312"/>
          <w:spacing w:val="-8"/>
          <w:sz w:val="32"/>
          <w:szCs w:val="32"/>
          <w:lang w:val="en-US" w:eastAsia="zh-CN"/>
        </w:rPr>
        <w:t>所有投标</w:t>
      </w:r>
      <w:r>
        <w:rPr>
          <w:rFonts w:hint="default" w:ascii="仿宋_GB2312" w:hAnsi="仿宋" w:eastAsia="仿宋_GB2312"/>
          <w:spacing w:val="-8"/>
          <w:sz w:val="32"/>
          <w:szCs w:val="32"/>
          <w:lang w:val="en-US" w:eastAsia="zh-CN"/>
        </w:rPr>
        <w:t>供应商</w:t>
      </w:r>
      <w:r>
        <w:rPr>
          <w:rFonts w:hint="eastAsia" w:ascii="仿宋_GB2312" w:hAnsi="仿宋" w:eastAsia="仿宋_GB2312"/>
          <w:spacing w:val="-8"/>
          <w:sz w:val="32"/>
          <w:szCs w:val="32"/>
          <w:lang w:val="en-US" w:eastAsia="zh-CN"/>
        </w:rPr>
        <w:t>进行</w:t>
      </w:r>
      <w:r>
        <w:rPr>
          <w:rFonts w:hint="default" w:ascii="仿宋_GB2312" w:hAnsi="仿宋" w:eastAsia="仿宋_GB2312"/>
          <w:spacing w:val="-8"/>
          <w:sz w:val="32"/>
          <w:szCs w:val="32"/>
          <w:lang w:val="en-US" w:eastAsia="zh-CN"/>
        </w:rPr>
        <w:t>资格审查</w:t>
      </w:r>
      <w:r>
        <w:rPr>
          <w:rFonts w:hint="eastAsia" w:ascii="仿宋_GB2312" w:hAnsi="仿宋" w:eastAsia="仿宋_GB2312"/>
          <w:spacing w:val="-8"/>
          <w:sz w:val="32"/>
          <w:szCs w:val="32"/>
          <w:lang w:val="en-US" w:eastAsia="zh-CN"/>
        </w:rPr>
        <w:t>和符合性审查，经审查合格的供应商，委员会再</w:t>
      </w:r>
      <w:r>
        <w:rPr>
          <w:rFonts w:hint="default" w:ascii="仿宋_GB2312" w:hAnsi="仿宋" w:eastAsia="仿宋_GB2312"/>
          <w:spacing w:val="-8"/>
          <w:sz w:val="32"/>
          <w:szCs w:val="32"/>
          <w:lang w:val="en-US" w:eastAsia="zh-CN"/>
        </w:rPr>
        <w:t>按照招标文件确定的评标标准和方法，</w:t>
      </w:r>
      <w:r>
        <w:rPr>
          <w:rFonts w:hint="eastAsia" w:ascii="仿宋_GB2312" w:hAnsi="仿宋" w:eastAsia="仿宋_GB2312"/>
          <w:spacing w:val="-8"/>
          <w:sz w:val="32"/>
          <w:szCs w:val="32"/>
          <w:lang w:val="en-US" w:eastAsia="zh-CN"/>
        </w:rPr>
        <w:t>从商务、技术、投标报价三个方面</w:t>
      </w:r>
      <w:r>
        <w:rPr>
          <w:rFonts w:hint="default" w:ascii="仿宋_GB2312" w:hAnsi="仿宋" w:eastAsia="仿宋_GB2312"/>
          <w:spacing w:val="-8"/>
          <w:sz w:val="32"/>
          <w:szCs w:val="32"/>
          <w:lang w:val="en-US" w:eastAsia="zh-CN"/>
        </w:rPr>
        <w:t>对投标文件进行评审和</w:t>
      </w:r>
      <w:r>
        <w:rPr>
          <w:rFonts w:hint="eastAsia" w:ascii="仿宋_GB2312" w:hAnsi="仿宋" w:eastAsia="仿宋_GB2312"/>
          <w:spacing w:val="-8"/>
          <w:sz w:val="32"/>
          <w:szCs w:val="32"/>
          <w:lang w:val="en-US" w:eastAsia="zh-CN"/>
        </w:rPr>
        <w:t>打分，最后根据三方面加权后的综合评分，确认中标候选人；评标结束后，</w:t>
      </w:r>
      <w:r>
        <w:rPr>
          <w:rFonts w:hint="default" w:ascii="仿宋_GB2312" w:hAnsi="仿宋" w:eastAsia="仿宋_GB2312"/>
          <w:spacing w:val="-8"/>
          <w:sz w:val="32"/>
          <w:szCs w:val="32"/>
          <w:lang w:val="en-US" w:eastAsia="zh-CN"/>
        </w:rPr>
        <w:t>向</w:t>
      </w:r>
      <w:r>
        <w:rPr>
          <w:rFonts w:hint="eastAsia" w:ascii="仿宋_GB2312" w:hAnsi="仿宋" w:eastAsia="仿宋_GB2312"/>
          <w:spacing w:val="-8"/>
          <w:sz w:val="32"/>
          <w:szCs w:val="32"/>
          <w:lang w:val="en-US" w:eastAsia="zh-CN"/>
        </w:rPr>
        <w:t>市医保中心</w:t>
      </w:r>
      <w:r>
        <w:rPr>
          <w:rFonts w:hint="default" w:ascii="仿宋_GB2312" w:hAnsi="仿宋" w:eastAsia="仿宋_GB2312"/>
          <w:spacing w:val="-8"/>
          <w:sz w:val="32"/>
          <w:szCs w:val="32"/>
          <w:lang w:val="en-US" w:eastAsia="zh-CN"/>
        </w:rPr>
        <w:t>提出书面评标报告</w:t>
      </w:r>
      <w:r>
        <w:rPr>
          <w:rFonts w:hint="eastAsia" w:ascii="仿宋_GB2312" w:hAnsi="仿宋" w:eastAsia="仿宋_GB2312"/>
          <w:spacing w:val="-8"/>
          <w:sz w:val="32"/>
          <w:szCs w:val="32"/>
          <w:lang w:val="en-US" w:eastAsia="zh-CN"/>
        </w:rPr>
        <w:t>。</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Chars="0" w:firstLine="643" w:firstLineChars="200"/>
        <w:jc w:val="both"/>
        <w:textAlignment w:val="auto"/>
        <w:rPr>
          <w:rFonts w:hint="default" w:ascii="仿宋_GB2312" w:hAnsi="仿宋" w:eastAsia="仿宋_GB2312"/>
          <w:spacing w:val="-8"/>
          <w:sz w:val="32"/>
          <w:szCs w:val="32"/>
          <w:lang w:val="en-US" w:eastAsia="zh-CN"/>
        </w:rPr>
      </w:pPr>
      <w:r>
        <w:rPr>
          <w:rFonts w:hint="eastAsia" w:ascii="楷体" w:hAnsi="楷体" w:eastAsia="楷体" w:cs="楷体"/>
          <w:b/>
          <w:bCs/>
          <w:sz w:val="32"/>
          <w:szCs w:val="32"/>
          <w:highlight w:val="none"/>
          <w:lang w:val="en-US" w:eastAsia="zh-CN" w:bidi="ar-SA"/>
        </w:rPr>
        <w:t>5、中标过程。</w:t>
      </w:r>
      <w:r>
        <w:rPr>
          <w:rFonts w:hint="eastAsia" w:ascii="仿宋_GB2312" w:hAnsi="仿宋" w:eastAsia="仿宋_GB2312"/>
          <w:spacing w:val="-8"/>
          <w:sz w:val="32"/>
          <w:szCs w:val="32"/>
          <w:lang w:val="en-US" w:eastAsia="zh-CN"/>
        </w:rPr>
        <w:t>市医保中心根据评审结果确定综合评分</w:t>
      </w:r>
      <w:r>
        <w:rPr>
          <w:rFonts w:hint="default" w:ascii="仿宋_GB2312" w:hAnsi="仿宋" w:eastAsia="仿宋_GB2312"/>
          <w:spacing w:val="-8"/>
          <w:sz w:val="32"/>
          <w:szCs w:val="32"/>
          <w:lang w:val="en-US" w:eastAsia="zh-CN"/>
        </w:rPr>
        <w:t>排名第一的中国太平洋人寿保险股份有限公司邵阳中心支公司（以下简称“太平洋人寿保险公司”）</w:t>
      </w:r>
      <w:r>
        <w:rPr>
          <w:rFonts w:hint="eastAsia" w:ascii="仿宋_GB2312" w:hAnsi="仿宋" w:eastAsia="仿宋_GB2312"/>
          <w:spacing w:val="-8"/>
          <w:sz w:val="32"/>
          <w:szCs w:val="32"/>
          <w:lang w:val="en-US" w:eastAsia="zh-CN"/>
        </w:rPr>
        <w:t>为中标供应商。2021年3月29日，市医保中心</w:t>
      </w:r>
      <w:r>
        <w:rPr>
          <w:rFonts w:hint="default" w:ascii="仿宋_GB2312" w:hAnsi="仿宋" w:eastAsia="仿宋_GB2312"/>
          <w:spacing w:val="-8"/>
          <w:sz w:val="32"/>
          <w:szCs w:val="32"/>
          <w:lang w:val="en-US" w:eastAsia="zh-CN"/>
        </w:rPr>
        <w:t>向太平洋人寿保险公司发出中标通知书，并同时</w:t>
      </w:r>
      <w:r>
        <w:rPr>
          <w:rFonts w:hint="eastAsia" w:ascii="仿宋_GB2312" w:hAnsi="仿宋" w:eastAsia="仿宋_GB2312"/>
          <w:spacing w:val="-8"/>
          <w:sz w:val="32"/>
          <w:szCs w:val="32"/>
          <w:lang w:val="en-US" w:eastAsia="zh-CN"/>
        </w:rPr>
        <w:t>发布项目</w:t>
      </w:r>
      <w:r>
        <w:rPr>
          <w:rFonts w:hint="default" w:ascii="仿宋_GB2312" w:hAnsi="仿宋" w:eastAsia="仿宋_GB2312"/>
          <w:spacing w:val="-8"/>
          <w:sz w:val="32"/>
          <w:szCs w:val="32"/>
          <w:lang w:val="en-US" w:eastAsia="zh-CN"/>
        </w:rPr>
        <w:t>中标结果</w:t>
      </w:r>
      <w:r>
        <w:rPr>
          <w:rFonts w:hint="eastAsia" w:ascii="仿宋_GB2312" w:hAnsi="仿宋" w:eastAsia="仿宋_GB2312"/>
          <w:spacing w:val="-8"/>
          <w:sz w:val="32"/>
          <w:szCs w:val="32"/>
          <w:lang w:val="en-US" w:eastAsia="zh-CN"/>
        </w:rPr>
        <w:t>公告</w:t>
      </w:r>
      <w:r>
        <w:rPr>
          <w:rFonts w:hint="default" w:ascii="仿宋_GB2312" w:hAnsi="仿宋" w:eastAsia="仿宋_GB2312"/>
          <w:spacing w:val="-8"/>
          <w:sz w:val="32"/>
          <w:szCs w:val="32"/>
          <w:lang w:val="en-US" w:eastAsia="zh-CN"/>
        </w:rPr>
        <w:t>。</w:t>
      </w:r>
      <w:r>
        <w:rPr>
          <w:rFonts w:hint="eastAsia" w:ascii="仿宋_GB2312" w:hAnsi="仿宋" w:eastAsia="仿宋_GB2312"/>
          <w:spacing w:val="-8"/>
          <w:sz w:val="32"/>
          <w:szCs w:val="32"/>
          <w:lang w:val="en-US" w:eastAsia="zh-CN"/>
        </w:rPr>
        <w:t>2021年4月1日，</w:t>
      </w:r>
      <w:r>
        <w:rPr>
          <w:rFonts w:hint="default" w:ascii="仿宋_GB2312" w:hAnsi="仿宋" w:eastAsia="仿宋_GB2312"/>
          <w:spacing w:val="-8"/>
          <w:sz w:val="32"/>
          <w:szCs w:val="32"/>
          <w:lang w:val="en-US" w:eastAsia="zh-CN"/>
        </w:rPr>
        <w:t>市医保中心与太平洋人寿保险公司按照招标文件</w:t>
      </w:r>
      <w:r>
        <w:rPr>
          <w:rFonts w:hint="eastAsia" w:ascii="仿宋_GB2312" w:hAnsi="仿宋" w:eastAsia="仿宋_GB2312"/>
          <w:spacing w:val="-8"/>
          <w:sz w:val="32"/>
          <w:szCs w:val="32"/>
          <w:lang w:val="en-US" w:eastAsia="zh-CN"/>
        </w:rPr>
        <w:t>和投标文件</w:t>
      </w:r>
      <w:r>
        <w:rPr>
          <w:rFonts w:hint="default" w:ascii="仿宋_GB2312" w:hAnsi="仿宋" w:eastAsia="仿宋_GB2312"/>
          <w:spacing w:val="-8"/>
          <w:sz w:val="32"/>
          <w:szCs w:val="32"/>
          <w:lang w:val="en-US" w:eastAsia="zh-CN"/>
        </w:rPr>
        <w:t>签订了职工大病保险承办服务协议书</w:t>
      </w:r>
      <w:r>
        <w:rPr>
          <w:rFonts w:hint="eastAsia" w:ascii="仿宋_GB2312" w:hAnsi="仿宋" w:eastAsia="仿宋_GB2312"/>
          <w:spacing w:val="-8"/>
          <w:sz w:val="32"/>
          <w:szCs w:val="32"/>
          <w:lang w:val="en-US" w:eastAsia="zh-CN"/>
        </w:rPr>
        <w:t>，协议约定了服务内容、服务标准、服务要求、理赔事项、付款方式以及双方的责任和义务等内容。</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仿宋_GB2312" w:hAnsi="仿宋" w:eastAsia="仿宋_GB2312"/>
          <w:spacing w:val="-8"/>
          <w:sz w:val="32"/>
          <w:szCs w:val="32"/>
          <w:lang w:val="en-US" w:eastAsia="zh-CN"/>
        </w:rPr>
      </w:pPr>
      <w:r>
        <w:rPr>
          <w:rFonts w:hint="eastAsia" w:ascii="楷体" w:hAnsi="楷体" w:eastAsia="楷体" w:cs="楷体"/>
          <w:b/>
          <w:bCs/>
          <w:sz w:val="32"/>
          <w:szCs w:val="32"/>
          <w:highlight w:val="none"/>
          <w:lang w:val="en-US" w:eastAsia="zh-CN" w:bidi="ar-SA"/>
        </w:rPr>
        <w:t>6、合同协议实施情况。</w:t>
      </w:r>
      <w:r>
        <w:rPr>
          <w:rFonts w:hint="eastAsia" w:ascii="仿宋_GB2312" w:hAnsi="仿宋" w:eastAsia="仿宋_GB2312"/>
          <w:spacing w:val="-8"/>
          <w:sz w:val="32"/>
          <w:szCs w:val="32"/>
          <w:lang w:val="en-US" w:eastAsia="zh-CN"/>
        </w:rPr>
        <w:t>包括理赔审核稽查和最终理赔结果，实施情况如下：</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0" w:firstLine="608" w:firstLineChars="200"/>
        <w:jc w:val="both"/>
        <w:textAlignment w:val="auto"/>
        <w:rPr>
          <w:rFonts w:hint="default" w:ascii="仿宋_GB2312" w:hAnsi="仿宋" w:eastAsia="仿宋_GB2312"/>
          <w:spacing w:val="-8"/>
          <w:sz w:val="32"/>
          <w:szCs w:val="32"/>
          <w:lang w:val="en-US" w:eastAsia="zh-CN"/>
        </w:rPr>
      </w:pPr>
      <w:r>
        <w:rPr>
          <w:rFonts w:hint="eastAsia" w:ascii="仿宋_GB2312" w:hAnsi="仿宋" w:eastAsia="仿宋_GB2312"/>
          <w:spacing w:val="-8"/>
          <w:sz w:val="32"/>
          <w:szCs w:val="32"/>
          <w:lang w:val="en-US" w:eastAsia="zh-CN"/>
        </w:rPr>
        <w:t>（1）理赔审核稽查</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0" w:firstLine="608" w:firstLineChars="200"/>
        <w:jc w:val="both"/>
        <w:textAlignment w:val="auto"/>
        <w:rPr>
          <w:rFonts w:hint="default" w:ascii="仿宋_GB2312" w:hAnsi="仿宋" w:eastAsia="仿宋_GB2312"/>
          <w:spacing w:val="-8"/>
          <w:sz w:val="32"/>
          <w:szCs w:val="32"/>
          <w:lang w:val="en-US" w:eastAsia="zh-CN"/>
        </w:rPr>
      </w:pPr>
      <w:r>
        <w:rPr>
          <w:rFonts w:hint="default" w:ascii="仿宋_GB2312" w:hAnsi="仿宋" w:eastAsia="仿宋_GB2312"/>
          <w:spacing w:val="-8"/>
          <w:sz w:val="32"/>
          <w:szCs w:val="32"/>
          <w:lang w:val="en-US" w:eastAsia="zh-CN"/>
        </w:rPr>
        <w:t>当被保险人的合规医疗费用年度内累计超过基本医疗保险最高支付限额（2021年为100000元）至大病医疗互助最高支付限额（2021年为300000元）时（保险期内如政策调整限额标准则按调整后的政策执行），由市医保中心代理被保险人向太平洋人寿保险公司申请理赔，保险公司应及时受理并审核结算，于受理赔付申请后的15个工作日内将理赔款一次性支付给市医保中心，且市医保中心、太平洋人寿保险公司双方共同对被保险人提供的资料进行初审，完成城镇职工大病保险的调查取证工作。</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200"/>
        <w:jc w:val="both"/>
        <w:textAlignment w:val="auto"/>
        <w:rPr>
          <w:rFonts w:hint="eastAsia" w:ascii="仿宋_GB2312" w:hAnsi="仿宋" w:eastAsia="仿宋_GB2312"/>
          <w:spacing w:val="-8"/>
          <w:sz w:val="32"/>
          <w:szCs w:val="32"/>
          <w:lang w:val="en-US" w:eastAsia="zh-CN"/>
        </w:rPr>
      </w:pPr>
      <w:r>
        <w:rPr>
          <w:rFonts w:hint="eastAsia" w:ascii="仿宋_GB2312" w:hAnsi="仿宋" w:eastAsia="仿宋_GB2312"/>
          <w:spacing w:val="-8"/>
          <w:sz w:val="32"/>
          <w:szCs w:val="32"/>
          <w:lang w:val="en-US" w:eastAsia="zh-CN"/>
        </w:rPr>
        <w:t>（2）最终理赔结果</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0" w:firstLine="608" w:firstLineChars="200"/>
        <w:jc w:val="both"/>
        <w:textAlignment w:val="auto"/>
        <w:rPr>
          <w:rFonts w:hint="default" w:ascii="仿宋_GB2312" w:hAnsi="仿宋" w:eastAsia="仿宋_GB2312"/>
          <w:spacing w:val="-8"/>
          <w:sz w:val="32"/>
          <w:szCs w:val="32"/>
          <w:lang w:val="en-US" w:eastAsia="zh-CN"/>
        </w:rPr>
      </w:pPr>
      <w:r>
        <w:rPr>
          <w:rFonts w:hint="default" w:ascii="仿宋_GB2312" w:hAnsi="仿宋" w:eastAsia="仿宋_GB2312"/>
          <w:spacing w:val="-8"/>
          <w:sz w:val="32"/>
          <w:szCs w:val="32"/>
          <w:lang w:val="en-US" w:eastAsia="zh-CN"/>
        </w:rPr>
        <w:t>2021年度总共为3235名参保人员提供了大病保险理赔服务，理赔金额为3286.22万元，赔付率100%。项目在承保期间对邵阳市本级参加了城镇职工大病医疗互助的参保人员做到因赔尽赔。</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eastAsia"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（三）资金投入及使用</w:t>
      </w:r>
    </w:p>
    <w:p>
      <w:pPr>
        <w:pStyle w:val="138"/>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邵阳市本级城镇职工</w:t>
      </w:r>
      <w:r>
        <w:rPr>
          <w:rFonts w:hint="eastAsia" w:ascii="Times New Roman" w:hAnsi="Times New Roman" w:eastAsia="仿宋_GB2312" w:cs="Times New Roman"/>
          <w:kern w:val="2"/>
          <w:sz w:val="32"/>
          <w:szCs w:val="32"/>
          <w:lang w:val="en-US" w:eastAsia="zh-CN" w:bidi="ar-SA"/>
        </w:rPr>
        <w:t>大病保险承办服务项目</w:t>
      </w:r>
      <w:r>
        <w:rPr>
          <w:rFonts w:hint="default" w:ascii="Times New Roman" w:hAnsi="Times New Roman" w:eastAsia="仿宋_GB2312" w:cs="Times New Roman"/>
          <w:kern w:val="2"/>
          <w:sz w:val="32"/>
          <w:szCs w:val="32"/>
          <w:lang w:val="en-US" w:eastAsia="zh-CN" w:bidi="ar-SA"/>
        </w:rPr>
        <w:t>资金由邵阳市医保中心当年度向参保人员实际征收到位的大病医疗互助费筹措整合组成。大病医疗互助费的缴费标准按照邵人社发</w:t>
      </w:r>
      <w:r>
        <w:rPr>
          <w:rFonts w:hint="eastAsia" w:ascii="Times New Roman" w:hAnsi="Times New Roman" w:eastAsia="仿宋_GB2312" w:cs="Times New Roman"/>
          <w:b w:val="0"/>
          <w:bCs w:val="0"/>
          <w:color w:val="auto"/>
          <w:kern w:val="2"/>
          <w:sz w:val="32"/>
          <w:szCs w:val="32"/>
          <w:lang w:val="en-US" w:eastAsia="en-US" w:bidi="ar-SA"/>
        </w:rPr>
        <w:t>〔</w:t>
      </w:r>
      <w:r>
        <w:rPr>
          <w:rFonts w:hint="default" w:ascii="Times New Roman" w:hAnsi="Times New Roman" w:eastAsia="仿宋_GB2312" w:cs="Times New Roman"/>
          <w:b w:val="0"/>
          <w:bCs w:val="0"/>
          <w:color w:val="auto"/>
          <w:kern w:val="2"/>
          <w:sz w:val="32"/>
          <w:szCs w:val="32"/>
          <w:lang w:val="en-US" w:eastAsia="zh-CN" w:bidi="ar-SA"/>
        </w:rPr>
        <w:t>2016</w:t>
      </w:r>
      <w:r>
        <w:rPr>
          <w:rFonts w:hint="eastAsia" w:ascii="Times New Roman" w:hAnsi="Times New Roman" w:eastAsia="仿宋_GB2312" w:cs="Times New Roman"/>
          <w:b w:val="0"/>
          <w:bCs w:val="0"/>
          <w:color w:val="auto"/>
          <w:kern w:val="2"/>
          <w:sz w:val="32"/>
          <w:szCs w:val="32"/>
          <w:lang w:val="en-US" w:eastAsia="en-US" w:bidi="ar-SA"/>
        </w:rPr>
        <w:t>〕</w:t>
      </w:r>
      <w:r>
        <w:rPr>
          <w:rFonts w:hint="default" w:ascii="Times New Roman" w:hAnsi="Times New Roman" w:eastAsia="仿宋_GB2312" w:cs="Times New Roman"/>
          <w:kern w:val="2"/>
          <w:sz w:val="32"/>
          <w:szCs w:val="32"/>
          <w:lang w:val="en-US" w:eastAsia="zh-CN" w:bidi="ar-SA"/>
        </w:rPr>
        <w:t>8号文件执行，人均筹费标准为150元/人。2021年大病医疗互助</w:t>
      </w:r>
      <w:r>
        <w:rPr>
          <w:rFonts w:hint="eastAsia" w:ascii="Times New Roman" w:hAnsi="Times New Roman" w:eastAsia="仿宋_GB2312" w:cs="Times New Roman"/>
          <w:kern w:val="2"/>
          <w:sz w:val="32"/>
          <w:szCs w:val="32"/>
          <w:lang w:val="en-US" w:eastAsia="zh-CN" w:bidi="ar-SA"/>
        </w:rPr>
        <w:t>费</w:t>
      </w:r>
      <w:r>
        <w:rPr>
          <w:rFonts w:hint="default" w:ascii="Times New Roman" w:hAnsi="Times New Roman" w:eastAsia="仿宋_GB2312" w:cs="Times New Roman"/>
          <w:kern w:val="2"/>
          <w:sz w:val="32"/>
          <w:szCs w:val="32"/>
          <w:lang w:val="en-US" w:eastAsia="zh-CN" w:bidi="ar-SA"/>
        </w:rPr>
        <w:t>根据招标采购文件，预估参保人数为185466人，预算金额为2782万元</w:t>
      </w:r>
      <w:r>
        <w:rPr>
          <w:rFonts w:hint="eastAsia" w:ascii="Times New Roman" w:hAnsi="Times New Roman" w:eastAsia="仿宋_GB2312" w:cs="Times New Roman"/>
          <w:kern w:val="2"/>
          <w:sz w:val="32"/>
          <w:szCs w:val="32"/>
          <w:lang w:val="en-US" w:eastAsia="zh-CN" w:bidi="ar-SA"/>
        </w:rPr>
        <w:t>。</w:t>
      </w:r>
    </w:p>
    <w:p>
      <w:pPr>
        <w:pStyle w:val="138"/>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2021</w:t>
      </w:r>
      <w:r>
        <w:rPr>
          <w:rFonts w:hint="eastAsia" w:ascii="Times New Roman" w:hAnsi="Times New Roman" w:eastAsia="仿宋_GB2312" w:cs="Times New Roman"/>
          <w:kern w:val="2"/>
          <w:sz w:val="32"/>
          <w:szCs w:val="32"/>
          <w:lang w:val="en-US" w:eastAsia="zh-CN" w:bidi="ar-SA"/>
        </w:rPr>
        <w:t>年度城镇职工大病保险项目应理赔</w:t>
      </w:r>
      <w:r>
        <w:rPr>
          <w:rFonts w:hint="default" w:ascii="Times New Roman" w:hAnsi="Times New Roman" w:eastAsia="仿宋_GB2312" w:cs="Times New Roman"/>
          <w:kern w:val="2"/>
          <w:sz w:val="32"/>
          <w:szCs w:val="32"/>
          <w:lang w:val="en-US" w:eastAsia="zh-CN" w:bidi="ar-SA"/>
        </w:rPr>
        <w:t>3235</w:t>
      </w:r>
      <w:r>
        <w:rPr>
          <w:rFonts w:hint="eastAsia" w:ascii="Times New Roman" w:hAnsi="Times New Roman" w:eastAsia="仿宋_GB2312" w:cs="Times New Roman"/>
          <w:kern w:val="2"/>
          <w:sz w:val="32"/>
          <w:szCs w:val="32"/>
          <w:lang w:val="en-US" w:eastAsia="zh-CN" w:bidi="ar-SA"/>
        </w:rPr>
        <w:t>件赔案，赔付金额为</w:t>
      </w:r>
      <w:r>
        <w:rPr>
          <w:rFonts w:hint="default" w:ascii="Times New Roman" w:hAnsi="Times New Roman" w:eastAsia="仿宋_GB2312" w:cs="Times New Roman"/>
          <w:kern w:val="2"/>
          <w:sz w:val="32"/>
          <w:szCs w:val="32"/>
          <w:lang w:val="en-US" w:eastAsia="zh-CN" w:bidi="ar-SA"/>
        </w:rPr>
        <w:t>3286</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22</w:t>
      </w:r>
      <w:r>
        <w:rPr>
          <w:rFonts w:hint="eastAsia" w:ascii="Times New Roman" w:hAnsi="Times New Roman" w:eastAsia="仿宋_GB2312" w:cs="Times New Roman"/>
          <w:kern w:val="2"/>
          <w:sz w:val="32"/>
          <w:szCs w:val="32"/>
          <w:lang w:val="en-US" w:eastAsia="zh-CN" w:bidi="ar-SA"/>
        </w:rPr>
        <w:t>万元，理赔款全部及时到位。按已收保费2336.88万元计算，2021年度邵阳市本级城镇职工大病保险保费亏损949.34万元，按照服务协议，太平洋人寿保险公司承担50%的保费亏损。</w:t>
      </w:r>
    </w:p>
    <w:tbl>
      <w:tblPr>
        <w:tblStyle w:val="35"/>
        <w:tblW w:w="94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6"/>
        <w:gridCol w:w="1374"/>
        <w:gridCol w:w="989"/>
        <w:gridCol w:w="1961"/>
        <w:gridCol w:w="1374"/>
        <w:gridCol w:w="1653"/>
        <w:gridCol w:w="13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8" w:hRule="atLeast"/>
        </w:trPr>
        <w:tc>
          <w:tcPr>
            <w:tcW w:w="9480" w:type="dxa"/>
            <w:gridSpan w:val="7"/>
            <w:tcBorders>
              <w:top w:val="nil"/>
              <w:left w:val="nil"/>
              <w:bottom w:val="single" w:color="auto"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560" w:lineRule="exact"/>
              <w:ind w:leftChars="0" w:firstLine="562" w:firstLineChars="200"/>
              <w:jc w:val="center"/>
              <w:textAlignment w:val="center"/>
              <w:rPr>
                <w:rFonts w:hint="eastAsia" w:ascii="方正仿宋_GB2312" w:hAnsi="方正仿宋_GB2312" w:eastAsia="方正仿宋_GB2312" w:cs="方正仿宋_GB2312"/>
                <w:i w:val="0"/>
                <w:iCs w:val="0"/>
                <w:color w:val="000000"/>
                <w:sz w:val="22"/>
                <w:szCs w:val="22"/>
                <w:u w:val="none"/>
              </w:rPr>
            </w:pPr>
            <w:r>
              <w:rPr>
                <w:rFonts w:hint="default" w:ascii="Times New Roman" w:hAnsi="Times New Roman" w:eastAsia="仿宋_GB2312" w:cs="Times New Roman"/>
                <w:b/>
                <w:bCs/>
                <w:kern w:val="2"/>
                <w:sz w:val="28"/>
                <w:szCs w:val="28"/>
                <w:lang w:val="en-US" w:eastAsia="zh-CN" w:bidi="ar-SA"/>
              </w:rPr>
              <w:t>2021</w:t>
            </w:r>
            <w:r>
              <w:rPr>
                <w:rFonts w:hint="eastAsia" w:ascii="Times New Roman" w:hAnsi="Times New Roman" w:eastAsia="仿宋_GB2312" w:cs="Times New Roman"/>
                <w:b/>
                <w:bCs/>
                <w:kern w:val="2"/>
                <w:sz w:val="28"/>
                <w:szCs w:val="28"/>
                <w:lang w:val="en-US" w:eastAsia="zh-CN" w:bidi="ar-SA"/>
              </w:rPr>
              <w:t>年邵阳市本级城镇职工大病保险收支情况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trPr>
        <w:tc>
          <w:tcPr>
            <w:tcW w:w="8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年度</w:t>
            </w:r>
          </w:p>
        </w:tc>
        <w:tc>
          <w:tcPr>
            <w:tcW w:w="432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年初筹资</w:t>
            </w:r>
          </w:p>
        </w:tc>
        <w:tc>
          <w:tcPr>
            <w:tcW w:w="433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 w:hAnsi="仿宋" w:eastAsia="仿宋" w:cs="仿宋"/>
                <w:i w:val="0"/>
                <w:iCs w:val="0"/>
                <w:color w:val="000000"/>
                <w:kern w:val="0"/>
                <w:sz w:val="24"/>
                <w:szCs w:val="24"/>
                <w:u w:val="none"/>
                <w:lang w:val="en-US" w:eastAsia="zh-CN" w:bidi="ar"/>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8" w:hRule="atLeast"/>
        </w:trPr>
        <w:tc>
          <w:tcPr>
            <w:tcW w:w="82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人均筹资</w:t>
            </w:r>
          </w:p>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标准(元)</w:t>
            </w:r>
          </w:p>
        </w:tc>
        <w:tc>
          <w:tcPr>
            <w:tcW w:w="9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人数</w:t>
            </w:r>
          </w:p>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(万人)</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大病医疗互助</w:t>
            </w:r>
          </w:p>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金(万元)</w:t>
            </w:r>
          </w:p>
        </w:tc>
        <w:tc>
          <w:tcPr>
            <w:tcW w:w="13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已收保费</w:t>
            </w:r>
          </w:p>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(万元)</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赔付金额</w:t>
            </w:r>
          </w:p>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(万元)</w:t>
            </w:r>
          </w:p>
        </w:tc>
        <w:tc>
          <w:tcPr>
            <w:tcW w:w="13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赔付率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trPr>
        <w:tc>
          <w:tcPr>
            <w:tcW w:w="8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2021</w:t>
            </w:r>
          </w:p>
        </w:tc>
        <w:tc>
          <w:tcPr>
            <w:tcW w:w="13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150</w:t>
            </w:r>
          </w:p>
        </w:tc>
        <w:tc>
          <w:tcPr>
            <w:tcW w:w="9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w:t>
            </w: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55</w:t>
            </w:r>
          </w:p>
        </w:tc>
        <w:tc>
          <w:tcPr>
            <w:tcW w:w="19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2782</w:t>
            </w:r>
          </w:p>
        </w:tc>
        <w:tc>
          <w:tcPr>
            <w:tcW w:w="13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2336</w:t>
            </w: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88</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3286</w:t>
            </w: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22</w:t>
            </w:r>
          </w:p>
        </w:tc>
        <w:tc>
          <w:tcPr>
            <w:tcW w:w="13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140</w:t>
            </w: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62</w:t>
            </w:r>
            <w:r>
              <w:rPr>
                <w:rFonts w:hint="eastAsia" w:ascii="Times New Roman" w:hAnsi="Times New Roman" w:eastAsia="宋体" w:cs="Times New Roman"/>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8" w:hRule="atLeast"/>
        </w:trPr>
        <w:tc>
          <w:tcPr>
            <w:tcW w:w="82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7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19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应收管理费</w:t>
            </w:r>
          </w:p>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(万元)</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实收管理费</w:t>
            </w:r>
          </w:p>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(万元)</w:t>
            </w:r>
          </w:p>
        </w:tc>
        <w:tc>
          <w:tcPr>
            <w:tcW w:w="13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82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7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19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166</w:t>
            </w: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92</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133</w:t>
            </w: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536</w:t>
            </w:r>
          </w:p>
        </w:tc>
        <w:tc>
          <w:tcPr>
            <w:tcW w:w="13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w:t>
            </w:r>
          </w:p>
        </w:tc>
      </w:tr>
    </w:tbl>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default"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（四）项目绩效目标</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eastAsia" w:ascii="Times New Roman" w:hAnsi="Times New Roman" w:eastAsia="仿宋_GB2312" w:cs="Times New Roman"/>
          <w:b/>
          <w:bCs/>
          <w:kern w:val="2"/>
          <w:sz w:val="32"/>
          <w:szCs w:val="32"/>
          <w:lang w:val="en-US" w:eastAsia="zh-CN"/>
        </w:rPr>
      </w:pPr>
      <w:r>
        <w:rPr>
          <w:rFonts w:hint="eastAsia" w:ascii="Times New Roman" w:hAnsi="Times New Roman" w:eastAsia="仿宋_GB2312" w:cs="Times New Roman"/>
          <w:b/>
          <w:bCs/>
          <w:kern w:val="2"/>
          <w:sz w:val="32"/>
          <w:szCs w:val="32"/>
          <w:lang w:val="en-US" w:eastAsia="zh-CN"/>
        </w:rPr>
        <w:t>1、总体目标</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为了规范政府采购行为，提高财政性资金和其他资金的使用效益，维护国家利益和社会公众利益，保护政府采购当事人的合法权益，促进全国统一大市场建设和廉洁建设。政府采购应当遵循公开透明、公平竞争、公正廉洁、诚实信用和讲求绩效原则。</w:t>
      </w:r>
    </w:p>
    <w:p>
      <w:pPr>
        <w:pStyle w:val="138"/>
        <w:keepNext w:val="0"/>
        <w:keepLines w:val="0"/>
        <w:pageBreakBefore w:val="0"/>
        <w:widowControl w:val="0"/>
        <w:numPr>
          <w:ilvl w:val="0"/>
          <w:numId w:val="9"/>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eastAsia" w:ascii="Times New Roman" w:hAnsi="Times New Roman" w:eastAsia="仿宋_GB2312" w:cs="Times New Roman"/>
          <w:b/>
          <w:bCs/>
          <w:kern w:val="2"/>
          <w:sz w:val="32"/>
          <w:szCs w:val="32"/>
          <w:lang w:val="en-US" w:eastAsia="zh-CN"/>
        </w:rPr>
      </w:pPr>
      <w:r>
        <w:rPr>
          <w:rFonts w:hint="eastAsia" w:ascii="Times New Roman" w:hAnsi="Times New Roman" w:eastAsia="仿宋_GB2312" w:cs="Times New Roman"/>
          <w:b/>
          <w:bCs/>
          <w:kern w:val="2"/>
          <w:sz w:val="32"/>
          <w:szCs w:val="32"/>
          <w:lang w:val="en-US" w:eastAsia="zh-CN"/>
        </w:rPr>
        <w:t>年度目标</w:t>
      </w:r>
    </w:p>
    <w:p>
      <w:pPr>
        <w:pStyle w:val="2"/>
        <w:keepNext w:val="0"/>
        <w:keepLines w:val="0"/>
        <w:pageBreakBefore w:val="0"/>
        <w:widowControl/>
        <w:kinsoku/>
        <w:wordWrap/>
        <w:overflowPunct/>
        <w:topLinePunct w:val="0"/>
        <w:autoSpaceDE/>
        <w:autoSpaceDN/>
        <w:bidi w:val="0"/>
        <w:adjustRightInd/>
        <w:snapToGrid/>
        <w:spacing w:after="0" w:line="600" w:lineRule="exact"/>
        <w:ind w:leftChars="0" w:firstLine="640" w:firstLineChars="200"/>
        <w:jc w:val="both"/>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lang w:val="en-US" w:eastAsia="zh-CN" w:bidi="ar-SA"/>
        </w:rPr>
        <w:t>项目单位未编制年度绩效目标及相应的绩效指标，经评价组归纳，年度绩效</w:t>
      </w:r>
      <w:r>
        <w:rPr>
          <w:rFonts w:hint="eastAsia" w:ascii="Times New Roman" w:hAnsi="Times New Roman" w:eastAsia="仿宋_GB2312" w:cs="Times New Roman"/>
          <w:kern w:val="2"/>
          <w:sz w:val="32"/>
          <w:szCs w:val="32"/>
          <w:highlight w:val="none"/>
          <w:lang w:val="en-US" w:eastAsia="zh-CN" w:bidi="ar-SA"/>
        </w:rPr>
        <w:t>目标为：</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default"/>
          <w:lang w:val="en-US" w:eastAsia="zh-CN"/>
        </w:rPr>
      </w:pPr>
      <w:r>
        <w:rPr>
          <w:rFonts w:hint="eastAsia" w:ascii="Times New Roman" w:hAnsi="Times New Roman" w:eastAsia="仿宋_GB2312" w:cs="Times New Roman"/>
          <w:b/>
          <w:bCs/>
          <w:kern w:val="2"/>
          <w:sz w:val="32"/>
          <w:szCs w:val="32"/>
          <w:lang w:val="en-US" w:eastAsia="zh-CN" w:bidi="ar-SA"/>
        </w:rPr>
        <w:t>采购程序合规：</w:t>
      </w:r>
      <w:r>
        <w:rPr>
          <w:rFonts w:hint="eastAsia" w:ascii="Times New Roman" w:hAnsi="Times New Roman" w:eastAsia="仿宋_GB2312" w:cs="Times New Roman"/>
          <w:b w:val="0"/>
          <w:bCs w:val="0"/>
          <w:kern w:val="2"/>
          <w:sz w:val="32"/>
          <w:szCs w:val="32"/>
          <w:lang w:val="en-US" w:eastAsia="zh-CN" w:bidi="ar-SA"/>
        </w:rPr>
        <w:t>整个采购</w:t>
      </w:r>
      <w:r>
        <w:rPr>
          <w:rFonts w:hint="eastAsia" w:ascii="Times New Roman" w:hAnsi="Times New Roman" w:eastAsia="仿宋_GB2312" w:cs="Times New Roman"/>
          <w:kern w:val="2"/>
          <w:sz w:val="32"/>
          <w:szCs w:val="32"/>
          <w:lang w:val="en-US" w:eastAsia="zh-CN" w:bidi="ar-SA"/>
        </w:rPr>
        <w:t>程序，从招标、投标、开标、评标到中标，做到合规合法。</w:t>
      </w:r>
    </w:p>
    <w:p>
      <w:pPr>
        <w:pStyle w:val="2"/>
        <w:keepNext w:val="0"/>
        <w:keepLines w:val="0"/>
        <w:pageBreakBefore w:val="0"/>
        <w:widowControl/>
        <w:kinsoku/>
        <w:wordWrap/>
        <w:overflowPunct/>
        <w:topLinePunct w:val="0"/>
        <w:autoSpaceDE/>
        <w:autoSpaceDN/>
        <w:bidi w:val="0"/>
        <w:adjustRightInd/>
        <w:snapToGrid/>
        <w:spacing w:after="0" w:line="600" w:lineRule="exact"/>
        <w:ind w:leftChars="0" w:firstLine="643" w:firstLineChars="200"/>
        <w:jc w:val="both"/>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b/>
          <w:bCs/>
          <w:kern w:val="2"/>
          <w:sz w:val="32"/>
          <w:szCs w:val="32"/>
          <w:highlight w:val="none"/>
          <w:lang w:val="en-US" w:eastAsia="zh-CN" w:bidi="ar-SA"/>
        </w:rPr>
        <w:t>产出数量：</w:t>
      </w:r>
      <w:r>
        <w:rPr>
          <w:rFonts w:hint="eastAsia" w:ascii="Times New Roman" w:hAnsi="Times New Roman" w:eastAsia="仿宋_GB2312" w:cs="Times New Roman"/>
          <w:kern w:val="2"/>
          <w:sz w:val="32"/>
          <w:szCs w:val="32"/>
          <w:highlight w:val="none"/>
          <w:lang w:val="en-US" w:eastAsia="zh-CN" w:bidi="ar-SA"/>
        </w:rPr>
        <w:t>采购项目在承保期间对邵阳市本级参加了城镇职工大病医疗互助的参保人员做到因赔尽赔。</w:t>
      </w:r>
    </w:p>
    <w:p>
      <w:pPr>
        <w:pStyle w:val="2"/>
        <w:keepNext w:val="0"/>
        <w:keepLines w:val="0"/>
        <w:pageBreakBefore w:val="0"/>
        <w:widowControl/>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b/>
          <w:bCs/>
          <w:kern w:val="2"/>
          <w:sz w:val="32"/>
          <w:szCs w:val="32"/>
          <w:highlight w:val="none"/>
          <w:lang w:val="en-US" w:eastAsia="zh-CN" w:bidi="ar-SA"/>
        </w:rPr>
        <w:t>产出质量：</w:t>
      </w:r>
      <w:r>
        <w:rPr>
          <w:rFonts w:hint="eastAsia" w:ascii="Times New Roman" w:hAnsi="Times New Roman" w:eastAsia="仿宋_GB2312" w:cs="Times New Roman"/>
          <w:kern w:val="2"/>
          <w:sz w:val="32"/>
          <w:szCs w:val="32"/>
          <w:highlight w:val="none"/>
          <w:lang w:val="en-US" w:eastAsia="zh-CN" w:bidi="ar-SA"/>
        </w:rPr>
        <w:t>采购项目符合采购需求中的技术要求。</w:t>
      </w:r>
    </w:p>
    <w:p>
      <w:pPr>
        <w:pStyle w:val="2"/>
        <w:keepNext w:val="0"/>
        <w:keepLines w:val="0"/>
        <w:pageBreakBefore w:val="0"/>
        <w:widowControl/>
        <w:kinsoku/>
        <w:wordWrap/>
        <w:overflowPunct/>
        <w:topLinePunct w:val="0"/>
        <w:autoSpaceDE/>
        <w:autoSpaceDN/>
        <w:bidi w:val="0"/>
        <w:adjustRightInd/>
        <w:snapToGrid/>
        <w:spacing w:after="0" w:line="600" w:lineRule="exact"/>
        <w:ind w:leftChars="0" w:firstLine="643" w:firstLineChars="200"/>
        <w:jc w:val="both"/>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b/>
          <w:bCs/>
          <w:kern w:val="2"/>
          <w:sz w:val="32"/>
          <w:szCs w:val="32"/>
          <w:highlight w:val="none"/>
          <w:lang w:val="en-US" w:eastAsia="zh-CN" w:bidi="ar-SA"/>
        </w:rPr>
        <w:t>产出时效：</w:t>
      </w:r>
      <w:r>
        <w:rPr>
          <w:rFonts w:hint="eastAsia" w:ascii="Times New Roman" w:hAnsi="Times New Roman" w:eastAsia="仿宋_GB2312" w:cs="Times New Roman"/>
          <w:kern w:val="2"/>
          <w:sz w:val="32"/>
          <w:szCs w:val="32"/>
          <w:highlight w:val="none"/>
          <w:lang w:val="en-US" w:eastAsia="zh-CN" w:bidi="ar-SA"/>
        </w:rPr>
        <w:t>按照采购合同约定，大病保险保费和承办服务费每个年度按3次结付；,如保费出现亏损，风险金于次年5月底前结算。</w:t>
      </w:r>
    </w:p>
    <w:p>
      <w:pPr>
        <w:pStyle w:val="2"/>
        <w:keepNext w:val="0"/>
        <w:keepLines w:val="0"/>
        <w:pageBreakBefore w:val="0"/>
        <w:widowControl/>
        <w:kinsoku/>
        <w:wordWrap/>
        <w:overflowPunct/>
        <w:topLinePunct w:val="0"/>
        <w:autoSpaceDE/>
        <w:autoSpaceDN/>
        <w:bidi w:val="0"/>
        <w:adjustRightInd/>
        <w:snapToGrid/>
        <w:spacing w:after="0" w:line="600" w:lineRule="exact"/>
        <w:ind w:leftChars="0" w:firstLine="643" w:firstLineChars="200"/>
        <w:jc w:val="both"/>
        <w:textAlignment w:val="auto"/>
        <w:rPr>
          <w:rFonts w:hint="default" w:ascii="Times New Roman" w:hAnsi="Times New Roman" w:eastAsia="仿宋_GB2312" w:cs="Times New Roman"/>
          <w:color w:val="FF0000"/>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项目效益：</w:t>
      </w:r>
      <w:r>
        <w:rPr>
          <w:rFonts w:hint="eastAsia" w:ascii="Times New Roman" w:hAnsi="Times New Roman" w:eastAsia="仿宋_GB2312" w:cs="Times New Roman"/>
          <w:kern w:val="2"/>
          <w:sz w:val="32"/>
          <w:szCs w:val="32"/>
          <w:lang w:val="en-US" w:eastAsia="zh-CN" w:bidi="ar-SA"/>
        </w:rPr>
        <w:t>采购过程公平、采购结果公正、采购信息公开；保险款理赔及时。</w:t>
      </w:r>
    </w:p>
    <w:p>
      <w:pPr>
        <w:pStyle w:val="2"/>
        <w:keepNext w:val="0"/>
        <w:keepLines w:val="0"/>
        <w:pageBreakBefore w:val="0"/>
        <w:widowControl/>
        <w:kinsoku/>
        <w:wordWrap/>
        <w:overflowPunct/>
        <w:topLinePunct w:val="0"/>
        <w:autoSpaceDE/>
        <w:autoSpaceDN/>
        <w:bidi w:val="0"/>
        <w:adjustRightInd/>
        <w:snapToGrid/>
        <w:spacing w:after="0" w:line="600" w:lineRule="exact"/>
        <w:ind w:leftChars="0" w:firstLine="640" w:firstLineChars="200"/>
        <w:jc w:val="both"/>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二、绩效评价工作情况</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eastAsia"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（一）绩效评价依据</w:t>
      </w:r>
    </w:p>
    <w:p>
      <w:pPr>
        <w:pStyle w:val="138"/>
        <w:keepNext w:val="0"/>
        <w:keepLines w:val="0"/>
        <w:pageBreakBefore w:val="0"/>
        <w:widowControl w:val="0"/>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《中华人民共和国预算法》；</w:t>
      </w:r>
    </w:p>
    <w:p>
      <w:pPr>
        <w:pStyle w:val="138"/>
        <w:keepNext w:val="0"/>
        <w:keepLines w:val="0"/>
        <w:pageBreakBefore w:val="0"/>
        <w:widowControl w:val="0"/>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《中华人民共和国招标投标法》、《中华人民共和国招标投标法实施条例》；</w:t>
      </w:r>
    </w:p>
    <w:p>
      <w:pPr>
        <w:pStyle w:val="138"/>
        <w:keepNext w:val="0"/>
        <w:keepLines w:val="0"/>
        <w:pageBreakBefore w:val="0"/>
        <w:widowControl w:val="0"/>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《中华人民共和国政府采购法》、《中华人民共和国政府采购法实施条例》；</w:t>
      </w:r>
    </w:p>
    <w:p>
      <w:pPr>
        <w:pStyle w:val="138"/>
        <w:keepNext w:val="0"/>
        <w:keepLines w:val="0"/>
        <w:pageBreakBefore w:val="0"/>
        <w:widowControl w:val="0"/>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《中共中央 国务院关于全面实施预算绩效管理的意见》（中发〔</w:t>
      </w:r>
      <w:r>
        <w:rPr>
          <w:rFonts w:hint="default" w:ascii="Times New Roman" w:hAnsi="Times New Roman" w:eastAsia="仿宋_GB2312" w:cs="Times New Roman"/>
          <w:kern w:val="2"/>
          <w:sz w:val="32"/>
          <w:szCs w:val="32"/>
          <w:lang w:val="en-US" w:eastAsia="zh-CN" w:bidi="ar-SA"/>
        </w:rPr>
        <w:t>20</w:t>
      </w:r>
      <w:r>
        <w:rPr>
          <w:rFonts w:hint="eastAsia" w:ascii="Times New Roman" w:hAnsi="Times New Roman" w:eastAsia="仿宋_GB2312" w:cs="Times New Roman"/>
          <w:kern w:val="2"/>
          <w:sz w:val="32"/>
          <w:szCs w:val="32"/>
          <w:lang w:val="en-US" w:eastAsia="zh-CN" w:bidi="ar-SA"/>
        </w:rPr>
        <w:t>18〕</w:t>
      </w:r>
      <w:r>
        <w:rPr>
          <w:rFonts w:hint="default" w:ascii="Times New Roman" w:hAnsi="Times New Roman" w:eastAsia="仿宋_GB2312" w:cs="Times New Roman"/>
          <w:kern w:val="2"/>
          <w:sz w:val="32"/>
          <w:szCs w:val="32"/>
          <w:lang w:val="en-US" w:eastAsia="zh-CN" w:bidi="ar-SA"/>
        </w:rPr>
        <w:t>34</w:t>
      </w:r>
      <w:r>
        <w:rPr>
          <w:rFonts w:hint="eastAsia" w:ascii="Times New Roman" w:hAnsi="Times New Roman" w:eastAsia="仿宋_GB2312" w:cs="Times New Roman"/>
          <w:kern w:val="2"/>
          <w:sz w:val="32"/>
          <w:szCs w:val="32"/>
          <w:lang w:val="en-US" w:eastAsia="zh-CN" w:bidi="ar-SA"/>
        </w:rPr>
        <w:t>号）；</w:t>
      </w:r>
    </w:p>
    <w:p>
      <w:pPr>
        <w:pStyle w:val="138"/>
        <w:keepNext w:val="0"/>
        <w:keepLines w:val="0"/>
        <w:pageBreakBefore w:val="0"/>
        <w:widowControl w:val="0"/>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《中共湖南省委办公厅  湖南省人民政府办公厅关于全面实施预算绩效管理的实施意见》（湘办发〔</w:t>
      </w:r>
      <w:r>
        <w:rPr>
          <w:rFonts w:hint="default" w:ascii="Times New Roman" w:hAnsi="Times New Roman" w:eastAsia="仿宋_GB2312" w:cs="Times New Roman"/>
          <w:kern w:val="2"/>
          <w:sz w:val="32"/>
          <w:szCs w:val="32"/>
          <w:lang w:val="en-US" w:eastAsia="zh-CN" w:bidi="ar-SA"/>
        </w:rPr>
        <w:t>20</w:t>
      </w:r>
      <w:r>
        <w:rPr>
          <w:rFonts w:hint="eastAsia" w:ascii="Times New Roman" w:hAnsi="Times New Roman" w:eastAsia="仿宋_GB2312" w:cs="Times New Roman"/>
          <w:kern w:val="2"/>
          <w:sz w:val="32"/>
          <w:szCs w:val="32"/>
          <w:lang w:val="en-US" w:eastAsia="zh-CN" w:bidi="ar-SA"/>
        </w:rPr>
        <w:t>19〕</w:t>
      </w:r>
      <w:r>
        <w:rPr>
          <w:rFonts w:hint="default" w:ascii="Times New Roman" w:hAnsi="Times New Roman" w:eastAsia="仿宋_GB2312" w:cs="Times New Roman"/>
          <w:kern w:val="2"/>
          <w:sz w:val="32"/>
          <w:szCs w:val="32"/>
          <w:lang w:val="en-US" w:eastAsia="zh-CN" w:bidi="ar-SA"/>
        </w:rPr>
        <w:t>10</w:t>
      </w:r>
      <w:r>
        <w:rPr>
          <w:rFonts w:hint="eastAsia" w:ascii="Times New Roman" w:hAnsi="Times New Roman" w:eastAsia="仿宋_GB2312" w:cs="Times New Roman"/>
          <w:kern w:val="2"/>
          <w:sz w:val="32"/>
          <w:szCs w:val="32"/>
          <w:lang w:val="en-US" w:eastAsia="zh-CN" w:bidi="ar-SA"/>
        </w:rPr>
        <w:t>号)；</w:t>
      </w:r>
    </w:p>
    <w:p>
      <w:pPr>
        <w:pStyle w:val="138"/>
        <w:keepNext w:val="0"/>
        <w:keepLines w:val="0"/>
        <w:pageBreakBefore w:val="0"/>
        <w:widowControl w:val="0"/>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bidi="ar-SA"/>
        </w:rPr>
        <w:t>《湖南省财政厅关于印发湖南省预算支出绩效评价管理办法的通知》（湘财绩〔</w:t>
      </w:r>
      <w:r>
        <w:rPr>
          <w:rFonts w:hint="default" w:ascii="Times New Roman" w:hAnsi="Times New Roman" w:eastAsia="仿宋_GB2312" w:cs="Times New Roman"/>
          <w:kern w:val="2"/>
          <w:sz w:val="32"/>
          <w:szCs w:val="32"/>
          <w:lang w:val="en-US" w:eastAsia="zh-CN" w:bidi="ar-SA"/>
        </w:rPr>
        <w:t>2020</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7</w:t>
      </w:r>
      <w:r>
        <w:rPr>
          <w:rFonts w:hint="eastAsia" w:ascii="Times New Roman" w:hAnsi="Times New Roman" w:eastAsia="仿宋_GB2312" w:cs="Times New Roman"/>
          <w:kern w:val="2"/>
          <w:sz w:val="32"/>
          <w:szCs w:val="32"/>
          <w:lang w:val="en-US" w:eastAsia="zh-CN" w:bidi="ar-SA"/>
        </w:rPr>
        <w:t>号）；</w:t>
      </w:r>
    </w:p>
    <w:p>
      <w:pPr>
        <w:pStyle w:val="138"/>
        <w:keepNext w:val="0"/>
        <w:keepLines w:val="0"/>
        <w:pageBreakBefore w:val="0"/>
        <w:widowControl w:val="0"/>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《关于调整城镇职工医疗保险政策有关问题的通知》（湘人社〔</w:t>
      </w:r>
      <w:r>
        <w:rPr>
          <w:rFonts w:hint="default" w:ascii="Times New Roman" w:hAnsi="Times New Roman" w:eastAsia="仿宋_GB2312" w:cs="Times New Roman"/>
          <w:kern w:val="2"/>
          <w:sz w:val="32"/>
          <w:szCs w:val="32"/>
          <w:lang w:val="en-US" w:eastAsia="zh-CN" w:bidi="ar-SA"/>
        </w:rPr>
        <w:t>20</w:t>
      </w:r>
      <w:r>
        <w:rPr>
          <w:rFonts w:hint="eastAsia" w:ascii="Times New Roman" w:hAnsi="Times New Roman" w:eastAsia="仿宋_GB2312" w:cs="Times New Roman"/>
          <w:kern w:val="2"/>
          <w:sz w:val="32"/>
          <w:szCs w:val="32"/>
          <w:lang w:val="en-US" w:eastAsia="zh-CN" w:bidi="ar-SA"/>
        </w:rPr>
        <w:t>16〕</w:t>
      </w:r>
      <w:r>
        <w:rPr>
          <w:rFonts w:hint="default" w:ascii="Times New Roman" w:hAnsi="Times New Roman" w:eastAsia="仿宋_GB2312" w:cs="Times New Roman"/>
          <w:kern w:val="2"/>
          <w:sz w:val="32"/>
          <w:szCs w:val="32"/>
          <w:lang w:val="en-US" w:eastAsia="zh-CN" w:bidi="ar-SA"/>
        </w:rPr>
        <w:t>4</w:t>
      </w:r>
      <w:r>
        <w:rPr>
          <w:rFonts w:hint="eastAsia" w:ascii="Times New Roman" w:hAnsi="Times New Roman" w:eastAsia="仿宋_GB2312" w:cs="Times New Roman"/>
          <w:kern w:val="2"/>
          <w:sz w:val="32"/>
          <w:szCs w:val="32"/>
          <w:lang w:val="en-US" w:eastAsia="zh-CN" w:bidi="ar-SA"/>
        </w:rPr>
        <w:t>号）；</w:t>
      </w:r>
    </w:p>
    <w:p>
      <w:pPr>
        <w:pStyle w:val="138"/>
        <w:keepNext w:val="0"/>
        <w:keepLines w:val="0"/>
        <w:pageBreakBefore w:val="0"/>
        <w:widowControl w:val="0"/>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邵阳市人力资源和社会保障局邵阳市财政局《关于调整职工医疗保险有关标准的通知》（邵人社发〔</w:t>
      </w:r>
      <w:r>
        <w:rPr>
          <w:rFonts w:hint="default" w:ascii="Times New Roman" w:hAnsi="Times New Roman" w:eastAsia="仿宋_GB2312" w:cs="Times New Roman"/>
          <w:kern w:val="2"/>
          <w:sz w:val="32"/>
          <w:szCs w:val="32"/>
          <w:lang w:val="en-US" w:eastAsia="zh-CN" w:bidi="ar-SA"/>
        </w:rPr>
        <w:t>20</w:t>
      </w:r>
      <w:r>
        <w:rPr>
          <w:rFonts w:hint="eastAsia" w:ascii="Times New Roman" w:hAnsi="Times New Roman" w:eastAsia="仿宋_GB2312" w:cs="Times New Roman"/>
          <w:kern w:val="2"/>
          <w:sz w:val="32"/>
          <w:szCs w:val="32"/>
          <w:lang w:val="en-US" w:eastAsia="zh-CN" w:bidi="ar-SA"/>
        </w:rPr>
        <w:t>16〕</w:t>
      </w:r>
      <w:r>
        <w:rPr>
          <w:rFonts w:hint="default" w:ascii="Times New Roman" w:hAnsi="Times New Roman" w:eastAsia="仿宋_GB2312" w:cs="Times New Roman"/>
          <w:kern w:val="2"/>
          <w:sz w:val="32"/>
          <w:szCs w:val="32"/>
          <w:lang w:val="en-US" w:eastAsia="zh-CN" w:bidi="ar-SA"/>
        </w:rPr>
        <w:t>8</w:t>
      </w:r>
      <w:r>
        <w:rPr>
          <w:rFonts w:hint="eastAsia" w:ascii="Times New Roman" w:hAnsi="Times New Roman" w:eastAsia="仿宋_GB2312" w:cs="Times New Roman"/>
          <w:kern w:val="2"/>
          <w:sz w:val="32"/>
          <w:szCs w:val="32"/>
          <w:lang w:val="en-US" w:eastAsia="zh-CN" w:bidi="ar-SA"/>
        </w:rPr>
        <w:t>号）；</w:t>
      </w:r>
    </w:p>
    <w:p>
      <w:pPr>
        <w:pStyle w:val="2"/>
        <w:keepNext w:val="0"/>
        <w:keepLines w:val="0"/>
        <w:pageBreakBefore w:val="0"/>
        <w:widowControl/>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市医保中心和太平洋保险公司各级部门职责相关规定、医保项目发展规划；</w:t>
      </w:r>
    </w:p>
    <w:p>
      <w:pPr>
        <w:pStyle w:val="2"/>
        <w:keepNext w:val="0"/>
        <w:keepLines w:val="0"/>
        <w:pageBreakBefore w:val="0"/>
        <w:widowControl/>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大病保险承办服务项目政府采购申报审批表、市直单位委托采购计划表、采购需求、招标报告和评标报告；</w:t>
      </w:r>
    </w:p>
    <w:p>
      <w:pPr>
        <w:pStyle w:val="2"/>
        <w:keepNext w:val="0"/>
        <w:keepLines w:val="0"/>
        <w:pageBreakBefore w:val="0"/>
        <w:widowControl/>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大病保险承办服务项目政府采购合同协议书、中标通知书；</w:t>
      </w:r>
    </w:p>
    <w:p>
      <w:pPr>
        <w:pStyle w:val="2"/>
        <w:keepNext w:val="0"/>
        <w:keepLines w:val="0"/>
        <w:pageBreakBefore w:val="0"/>
        <w:widowControl/>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大病保险承办服务项目资金管理制度及办法、社会保险基金财务制度和财务和会计资料；</w:t>
      </w:r>
    </w:p>
    <w:p>
      <w:pPr>
        <w:pStyle w:val="2"/>
        <w:keepNext w:val="0"/>
        <w:keepLines w:val="0"/>
        <w:pageBreakBefore w:val="0"/>
        <w:widowControl/>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大病保险承办服务项目基金运营分析、对商业保险公司的考核评分等情况的自评报告；</w:t>
      </w:r>
    </w:p>
    <w:p>
      <w:pPr>
        <w:pStyle w:val="2"/>
        <w:keepNext w:val="0"/>
        <w:keepLines w:val="0"/>
        <w:pageBreakBefore w:val="0"/>
        <w:widowControl/>
        <w:numPr>
          <w:ilvl w:val="0"/>
          <w:numId w:val="10"/>
        </w:numPr>
        <w:kinsoku/>
        <w:wordWrap/>
        <w:overflowPunct/>
        <w:topLinePunct w:val="0"/>
        <w:autoSpaceDE/>
        <w:autoSpaceDN/>
        <w:bidi w:val="0"/>
        <w:adjustRightInd/>
        <w:snapToGrid/>
        <w:spacing w:after="0" w:line="600" w:lineRule="exact"/>
        <w:ind w:left="20" w:leftChars="0" w:firstLine="640" w:firstLineChars="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其他相关资料。</w:t>
      </w:r>
    </w:p>
    <w:p>
      <w:pPr>
        <w:pStyle w:val="138"/>
        <w:keepNext w:val="0"/>
        <w:keepLines w:val="0"/>
        <w:pageBreakBefore w:val="0"/>
        <w:widowControl w:val="0"/>
        <w:numPr>
          <w:ilvl w:val="0"/>
          <w:numId w:val="11"/>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eastAsia"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绩效评价的基本内容</w:t>
      </w:r>
    </w:p>
    <w:p>
      <w:pPr>
        <w:pStyle w:val="138"/>
        <w:keepNext w:val="0"/>
        <w:keepLines w:val="0"/>
        <w:pageBreakBefore w:val="0"/>
        <w:widowControl w:val="0"/>
        <w:numPr>
          <w:ilvl w:val="0"/>
          <w:numId w:val="12"/>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eastAsia"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决策方面。</w:t>
      </w:r>
      <w:r>
        <w:rPr>
          <w:rFonts w:hint="eastAsia" w:ascii="Times New Roman" w:hAnsi="Times New Roman" w:eastAsia="仿宋_GB2312" w:cs="Times New Roman"/>
          <w:kern w:val="2"/>
          <w:sz w:val="32"/>
          <w:szCs w:val="32"/>
          <w:lang w:val="en-US" w:eastAsia="zh-CN" w:bidi="ar-SA"/>
        </w:rPr>
        <w:t>项目立项依据的充分性，包括是否符合国家相关法律法规、国民经济发展规划和相关政策等；立项程序的规范性，包括项目是否按照规定的程序申请设立等；项目绩效目标以及指标设置情况。</w:t>
      </w:r>
    </w:p>
    <w:p>
      <w:pPr>
        <w:pStyle w:val="138"/>
        <w:keepNext w:val="0"/>
        <w:keepLines w:val="0"/>
        <w:pageBreakBefore w:val="0"/>
        <w:widowControl w:val="0"/>
        <w:numPr>
          <w:ilvl w:val="0"/>
          <w:numId w:val="12"/>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default"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过程方面。</w:t>
      </w:r>
      <w:r>
        <w:rPr>
          <w:rFonts w:hint="eastAsia" w:ascii="Times New Roman" w:hAnsi="Times New Roman" w:eastAsia="仿宋_GB2312" w:cs="Times New Roman"/>
          <w:b w:val="0"/>
          <w:bCs w:val="0"/>
          <w:kern w:val="2"/>
          <w:sz w:val="32"/>
          <w:szCs w:val="32"/>
          <w:lang w:val="en-US" w:eastAsia="zh-CN" w:bidi="ar-SA"/>
        </w:rPr>
        <w:t>整个采购</w:t>
      </w:r>
      <w:r>
        <w:rPr>
          <w:rFonts w:hint="eastAsia" w:ascii="Times New Roman" w:hAnsi="Times New Roman" w:eastAsia="仿宋_GB2312" w:cs="Times New Roman"/>
          <w:kern w:val="2"/>
          <w:sz w:val="32"/>
          <w:szCs w:val="32"/>
          <w:lang w:val="en-US" w:eastAsia="zh-CN" w:bidi="ar-SA"/>
        </w:rPr>
        <w:t>程序的合规情况，包括招标、投标、开标、评标、中标的合规情况；资金使用的合规情况。</w:t>
      </w:r>
    </w:p>
    <w:p>
      <w:pPr>
        <w:pStyle w:val="138"/>
        <w:keepNext w:val="0"/>
        <w:keepLines w:val="0"/>
        <w:pageBreakBefore w:val="0"/>
        <w:widowControl w:val="0"/>
        <w:numPr>
          <w:ilvl w:val="0"/>
          <w:numId w:val="12"/>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default"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产出方面。</w:t>
      </w:r>
      <w:r>
        <w:rPr>
          <w:rFonts w:hint="eastAsia" w:ascii="Times New Roman" w:hAnsi="Times New Roman" w:eastAsia="仿宋_GB2312" w:cs="Times New Roman"/>
          <w:kern w:val="2"/>
          <w:sz w:val="32"/>
          <w:szCs w:val="32"/>
          <w:lang w:val="en-US" w:eastAsia="zh-CN" w:bidi="ar-SA"/>
        </w:rPr>
        <w:t>项目赔付案件情况；项目质量考核情况；履约付款及时情况。</w:t>
      </w:r>
    </w:p>
    <w:p>
      <w:pPr>
        <w:pStyle w:val="138"/>
        <w:keepNext w:val="0"/>
        <w:keepLines w:val="0"/>
        <w:pageBreakBefore w:val="0"/>
        <w:widowControl w:val="0"/>
        <w:numPr>
          <w:ilvl w:val="0"/>
          <w:numId w:val="12"/>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default"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效益方面。</w:t>
      </w:r>
      <w:r>
        <w:rPr>
          <w:rFonts w:hint="eastAsia" w:ascii="Times New Roman" w:hAnsi="Times New Roman" w:eastAsia="仿宋_GB2312" w:cs="Times New Roman"/>
          <w:kern w:val="2"/>
          <w:sz w:val="32"/>
          <w:szCs w:val="32"/>
          <w:lang w:val="en-US" w:eastAsia="zh-CN" w:bidi="ar-SA"/>
        </w:rPr>
        <w:t>采购项目的公平、公正、公开情况及是否存在争议处理情况；项目实施带来的社会效益；项目服务对象的满意程度。</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eastAsia"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（三）绩效评价原则</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1.科学规范原则。</w:t>
      </w:r>
      <w:r>
        <w:rPr>
          <w:rFonts w:hint="eastAsia" w:ascii="Times New Roman" w:hAnsi="Times New Roman" w:eastAsia="仿宋_GB2312" w:cs="Times New Roman"/>
          <w:kern w:val="2"/>
          <w:sz w:val="32"/>
          <w:szCs w:val="32"/>
          <w:lang w:val="en-US" w:eastAsia="zh-CN" w:bidi="ar-SA"/>
        </w:rPr>
        <w:t>严格执行规定程序，按照科学可行的要求，采用定量与定性分析相结合的方法，对本项目进行绩效评价。同时设置量化程度较高的产出、效果指标，降低评价人员的主观评断影响。</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2.公正公开原则。</w:t>
      </w:r>
      <w:r>
        <w:rPr>
          <w:rFonts w:hint="eastAsia" w:ascii="Times New Roman" w:hAnsi="Times New Roman" w:eastAsia="仿宋_GB2312" w:cs="Times New Roman"/>
          <w:kern w:val="2"/>
          <w:sz w:val="32"/>
          <w:szCs w:val="32"/>
          <w:lang w:val="en-US" w:eastAsia="zh-CN" w:bidi="ar-SA"/>
        </w:rPr>
        <w:t>本次绩效评价秉承真实、客观、公正的要求，依法公开并接受监督。</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3.分级分类原则。</w:t>
      </w:r>
      <w:r>
        <w:rPr>
          <w:rFonts w:hint="eastAsia" w:ascii="Times New Roman" w:hAnsi="Times New Roman" w:eastAsia="仿宋_GB2312" w:cs="Times New Roman"/>
          <w:kern w:val="2"/>
          <w:sz w:val="32"/>
          <w:szCs w:val="32"/>
          <w:lang w:val="en-US" w:eastAsia="zh-CN" w:bidi="ar-SA"/>
        </w:rPr>
        <w:t>本次绩效评价根据评价对象的特点分类组织实施。</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4.绩效相关原则。</w:t>
      </w:r>
      <w:r>
        <w:rPr>
          <w:rFonts w:hint="eastAsia" w:ascii="Times New Roman" w:hAnsi="Times New Roman" w:eastAsia="仿宋_GB2312" w:cs="Times New Roman"/>
          <w:kern w:val="2"/>
          <w:sz w:val="32"/>
          <w:szCs w:val="32"/>
          <w:lang w:val="en-US" w:eastAsia="zh-CN" w:bidi="ar-SA"/>
        </w:rPr>
        <w:t>使用与绩效目标有直接联系，能够恰当反映目标实现程度的绩效评价指标。</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eastAsia" w:ascii="楷体" w:hAnsi="楷体" w:eastAsia="楷体" w:cs="楷体"/>
          <w:b/>
          <w:bCs/>
          <w:sz w:val="32"/>
          <w:szCs w:val="32"/>
          <w:highlight w:val="none"/>
          <w:lang w:val="en-US" w:eastAsia="zh-CN" w:bidi="ar-SA"/>
        </w:rPr>
      </w:pPr>
      <w:bookmarkStart w:id="0" w:name="_Toc23337"/>
      <w:bookmarkStart w:id="1" w:name="_Toc6424"/>
      <w:bookmarkStart w:id="2" w:name="_Toc23393"/>
      <w:r>
        <w:rPr>
          <w:rFonts w:hint="eastAsia" w:ascii="楷体" w:hAnsi="楷体" w:eastAsia="楷体" w:cs="楷体"/>
          <w:b/>
          <w:bCs/>
          <w:sz w:val="32"/>
          <w:szCs w:val="32"/>
          <w:highlight w:val="none"/>
          <w:lang w:val="en-US" w:eastAsia="zh-CN" w:bidi="ar-SA"/>
        </w:rPr>
        <w:t>（四）绩效评价指标体系</w:t>
      </w:r>
      <w:bookmarkEnd w:id="0"/>
      <w:bookmarkEnd w:id="1"/>
      <w:bookmarkEnd w:id="2"/>
    </w:p>
    <w:p>
      <w:pPr>
        <w:keepNext w:val="0"/>
        <w:keepLines w:val="0"/>
        <w:pageBreakBefore w:val="0"/>
        <w:widowControl/>
        <w:kinsoku/>
        <w:wordWrap/>
        <w:overflowPunct/>
        <w:topLinePunct w:val="0"/>
        <w:autoSpaceDE/>
        <w:autoSpaceDN/>
        <w:bidi w:val="0"/>
        <w:adjustRightInd/>
        <w:snapToGrid/>
        <w:spacing w:after="0" w:line="60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按照《湖南省财政厅关于印发湖南省预算支出绩效评价管理办法的通知》（湘财绩〔</w:t>
      </w:r>
      <w:r>
        <w:rPr>
          <w:rFonts w:hint="default" w:ascii="Times New Roman" w:hAnsi="Times New Roman" w:eastAsia="仿宋_GB2312" w:cs="Times New Roman"/>
          <w:kern w:val="2"/>
          <w:sz w:val="32"/>
          <w:szCs w:val="32"/>
          <w:lang w:val="en-US" w:eastAsia="zh-CN" w:bidi="ar-SA"/>
        </w:rPr>
        <w:t>2020</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7</w:t>
      </w:r>
      <w:r>
        <w:rPr>
          <w:rFonts w:hint="eastAsia" w:ascii="Times New Roman" w:hAnsi="Times New Roman" w:eastAsia="仿宋_GB2312" w:cs="Times New Roman"/>
          <w:kern w:val="2"/>
          <w:sz w:val="32"/>
          <w:szCs w:val="32"/>
          <w:lang w:val="en-US" w:eastAsia="zh-CN" w:bidi="ar-SA"/>
        </w:rPr>
        <w:t>号）要求，评价组</w:t>
      </w:r>
      <w:r>
        <w:rPr>
          <w:rFonts w:hint="default" w:ascii="Times New Roman" w:hAnsi="Times New Roman" w:eastAsia="仿宋_GB2312" w:cs="Times New Roman"/>
          <w:kern w:val="2"/>
          <w:sz w:val="32"/>
          <w:szCs w:val="32"/>
          <w:lang w:val="en-US" w:eastAsia="zh-CN" w:bidi="ar-SA"/>
        </w:rPr>
        <w:t>从绩效指标设计的原则分析，结合项目实际情况，</w:t>
      </w:r>
      <w:r>
        <w:rPr>
          <w:rFonts w:hint="eastAsia" w:ascii="Times New Roman" w:hAnsi="Times New Roman" w:eastAsia="仿宋_GB2312" w:cs="Times New Roman"/>
          <w:kern w:val="2"/>
          <w:sz w:val="32"/>
          <w:szCs w:val="32"/>
          <w:lang w:val="en-US" w:eastAsia="zh-CN" w:bidi="ar-SA"/>
        </w:rPr>
        <w:t>设计了本项目支出的评价指标体系。</w:t>
      </w:r>
      <w:r>
        <w:rPr>
          <w:rFonts w:hint="default" w:ascii="Times New Roman" w:hAnsi="Times New Roman" w:eastAsia="仿宋_GB2312" w:cs="Times New Roman"/>
          <w:kern w:val="2"/>
          <w:sz w:val="32"/>
          <w:szCs w:val="32"/>
          <w:lang w:val="en-US" w:eastAsia="zh-CN" w:bidi="ar-SA"/>
        </w:rPr>
        <w:t>本次绩效评价指标设计应重点包括四</w:t>
      </w:r>
      <w:r>
        <w:rPr>
          <w:rFonts w:hint="eastAsia" w:ascii="Times New Roman" w:hAnsi="Times New Roman" w:eastAsia="仿宋_GB2312" w:cs="Times New Roman"/>
          <w:kern w:val="2"/>
          <w:sz w:val="32"/>
          <w:szCs w:val="32"/>
          <w:lang w:val="en-US" w:eastAsia="zh-CN" w:bidi="ar-SA"/>
        </w:rPr>
        <w:t>个维度</w:t>
      </w:r>
      <w:r>
        <w:rPr>
          <w:rFonts w:hint="default" w:ascii="Times New Roman" w:hAnsi="Times New Roman" w:eastAsia="仿宋_GB2312" w:cs="Times New Roman"/>
          <w:kern w:val="2"/>
          <w:sz w:val="32"/>
          <w:szCs w:val="32"/>
          <w:lang w:val="en-US" w:eastAsia="zh-CN" w:bidi="ar-SA"/>
        </w:rPr>
        <w:t>内容，一是项目决策指标，即通过评价项目立项依据充分性、立项程序规范性、绩效目标合理性、绩效指标明确性来分析项目决策是否科学合理；二是项目过程指标，即通过评价</w:t>
      </w:r>
      <w:r>
        <w:rPr>
          <w:rFonts w:hint="eastAsia" w:ascii="Times New Roman" w:hAnsi="Times New Roman" w:eastAsia="仿宋_GB2312" w:cs="Times New Roman"/>
          <w:kern w:val="2"/>
          <w:sz w:val="32"/>
          <w:szCs w:val="32"/>
          <w:lang w:val="en-US" w:eastAsia="zh-CN" w:bidi="ar-SA"/>
        </w:rPr>
        <w:t>招标过程合规性</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投标过程合规性、开标过程合规性、评标过程合规性、中标过程合规性及</w:t>
      </w:r>
      <w:r>
        <w:rPr>
          <w:rFonts w:hint="default" w:ascii="Times New Roman" w:hAnsi="Times New Roman" w:eastAsia="仿宋_GB2312" w:cs="Times New Roman"/>
          <w:kern w:val="2"/>
          <w:sz w:val="32"/>
          <w:szCs w:val="32"/>
          <w:lang w:val="en-US" w:eastAsia="zh-CN" w:bidi="ar-SA"/>
        </w:rPr>
        <w:t>资金使用合规性来分析项目实施过程所采取的组织措施是否完备；三是项目产出指标，即从产出的数量指标、质量指标</w:t>
      </w:r>
      <w:r>
        <w:rPr>
          <w:rFonts w:hint="eastAsia" w:ascii="Times New Roman" w:hAnsi="Times New Roman" w:eastAsia="仿宋_GB2312" w:cs="Times New Roman"/>
          <w:kern w:val="2"/>
          <w:sz w:val="32"/>
          <w:szCs w:val="32"/>
          <w:lang w:val="en-US" w:eastAsia="zh-CN" w:bidi="ar-SA"/>
        </w:rPr>
        <w:t>和</w:t>
      </w:r>
      <w:r>
        <w:rPr>
          <w:rFonts w:hint="default" w:ascii="Times New Roman" w:hAnsi="Times New Roman" w:eastAsia="仿宋_GB2312" w:cs="Times New Roman"/>
          <w:kern w:val="2"/>
          <w:sz w:val="32"/>
          <w:szCs w:val="32"/>
          <w:lang w:val="en-US" w:eastAsia="zh-CN" w:bidi="ar-SA"/>
        </w:rPr>
        <w:t>时效指标分析工作开展是否全面、及时执行到位，检测是否符合预期质量要求，检测成本是否合理等；四是项目效益指标，即通过对实施邵阳市本级城镇职工</w:t>
      </w:r>
      <w:r>
        <w:rPr>
          <w:rFonts w:hint="eastAsia" w:ascii="Times New Roman" w:hAnsi="Times New Roman" w:eastAsia="仿宋_GB2312" w:cs="Times New Roman"/>
          <w:kern w:val="2"/>
          <w:sz w:val="32"/>
          <w:szCs w:val="32"/>
          <w:lang w:val="en-US" w:eastAsia="zh-CN" w:bidi="ar-SA"/>
        </w:rPr>
        <w:t>大病保险承办服务项目</w:t>
      </w:r>
      <w:r>
        <w:rPr>
          <w:rFonts w:hint="default" w:ascii="Times New Roman" w:hAnsi="Times New Roman" w:eastAsia="仿宋_GB2312" w:cs="Times New Roman"/>
          <w:kern w:val="2"/>
          <w:sz w:val="32"/>
          <w:szCs w:val="32"/>
          <w:lang w:val="en-US" w:eastAsia="zh-CN" w:bidi="ar-SA"/>
        </w:rPr>
        <w:t>所产生的社会效益方面进行全面分析，以验证</w:t>
      </w:r>
      <w:r>
        <w:rPr>
          <w:rFonts w:hint="eastAsia" w:ascii="Times New Roman" w:hAnsi="Times New Roman" w:eastAsia="仿宋_GB2312" w:cs="Times New Roman"/>
          <w:kern w:val="2"/>
          <w:sz w:val="32"/>
          <w:szCs w:val="32"/>
          <w:lang w:val="en-US" w:eastAsia="zh-CN" w:bidi="ar-SA"/>
        </w:rPr>
        <w:t>项目</w:t>
      </w:r>
      <w:r>
        <w:rPr>
          <w:rFonts w:hint="default" w:ascii="Times New Roman" w:hAnsi="Times New Roman" w:eastAsia="仿宋_GB2312" w:cs="Times New Roman"/>
          <w:kern w:val="2"/>
          <w:sz w:val="32"/>
          <w:szCs w:val="32"/>
          <w:lang w:val="en-US" w:eastAsia="zh-CN" w:bidi="ar-SA"/>
        </w:rPr>
        <w:t>的</w:t>
      </w:r>
      <w:r>
        <w:rPr>
          <w:rFonts w:hint="eastAsia" w:ascii="Times New Roman" w:hAnsi="Times New Roman" w:eastAsia="仿宋_GB2312" w:cs="Times New Roman"/>
          <w:kern w:val="2"/>
          <w:sz w:val="32"/>
          <w:szCs w:val="32"/>
          <w:lang w:val="en-US" w:eastAsia="zh-CN" w:bidi="ar-SA"/>
        </w:rPr>
        <w:t>开展</w:t>
      </w:r>
      <w:r>
        <w:rPr>
          <w:rFonts w:hint="default" w:ascii="Times New Roman" w:hAnsi="Times New Roman" w:eastAsia="仿宋_GB2312" w:cs="Times New Roman"/>
          <w:kern w:val="2"/>
          <w:sz w:val="32"/>
          <w:szCs w:val="32"/>
          <w:lang w:val="en-US" w:eastAsia="zh-CN" w:bidi="ar-SA"/>
        </w:rPr>
        <w:t>是否产生了积极良好的效果，达成了预期目标。通过对社会公众及服务对象进行满意度调查，了解其对项目实施效果的满意情况</w:t>
      </w:r>
      <w:r>
        <w:rPr>
          <w:rFonts w:hint="eastAsia" w:ascii="Times New Roman" w:hAnsi="Times New Roman" w:eastAsia="仿宋_GB2312" w:cs="Times New Roman"/>
          <w:kern w:val="2"/>
          <w:sz w:val="32"/>
          <w:szCs w:val="32"/>
          <w:lang w:val="en-US" w:eastAsia="zh-CN" w:bidi="ar-SA"/>
        </w:rPr>
        <w:t>。</w:t>
      </w:r>
    </w:p>
    <w:p>
      <w:pPr>
        <w:keepNext w:val="0"/>
        <w:keepLines w:val="0"/>
        <w:pageBreakBefore w:val="0"/>
        <w:widowControl/>
        <w:kinsoku/>
        <w:wordWrap/>
        <w:overflowPunct/>
        <w:topLinePunct w:val="0"/>
        <w:autoSpaceDE/>
        <w:autoSpaceDN/>
        <w:bidi w:val="0"/>
        <w:adjustRightInd/>
        <w:snapToGrid/>
        <w:spacing w:after="0" w:line="600"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每个维度由一级、二级、三级指标构成，满分</w:t>
      </w:r>
      <w:r>
        <w:rPr>
          <w:rFonts w:hint="default" w:ascii="Times New Roman" w:hAnsi="Times New Roman" w:eastAsia="仿宋_GB2312" w:cs="Times New Roman"/>
          <w:kern w:val="2"/>
          <w:sz w:val="32"/>
          <w:szCs w:val="32"/>
          <w:lang w:val="en-US" w:eastAsia="zh-CN" w:bidi="ar-SA"/>
        </w:rPr>
        <w:t>100</w:t>
      </w:r>
      <w:r>
        <w:rPr>
          <w:rFonts w:hint="eastAsia" w:ascii="Times New Roman" w:hAnsi="Times New Roman" w:eastAsia="仿宋_GB2312" w:cs="Times New Roman"/>
          <w:kern w:val="2"/>
          <w:sz w:val="32"/>
          <w:szCs w:val="32"/>
          <w:lang w:val="en-US" w:eastAsia="zh-CN" w:bidi="ar-SA"/>
        </w:rPr>
        <w:t>分。绩效评价结果分为四个等级：</w:t>
      </w:r>
      <w:r>
        <w:rPr>
          <w:rFonts w:hint="default" w:ascii="Times New Roman" w:hAnsi="Times New Roman" w:eastAsia="仿宋_GB2312" w:cs="Times New Roman"/>
          <w:kern w:val="2"/>
          <w:sz w:val="32"/>
          <w:szCs w:val="32"/>
          <w:lang w:val="en-US" w:eastAsia="zh-CN" w:bidi="ar-SA"/>
        </w:rPr>
        <w:t>90</w:t>
      </w:r>
      <w:r>
        <w:rPr>
          <w:rFonts w:hint="eastAsia" w:ascii="Times New Roman" w:hAnsi="Times New Roman" w:eastAsia="仿宋_GB2312" w:cs="Times New Roman"/>
          <w:kern w:val="2"/>
          <w:sz w:val="32"/>
          <w:szCs w:val="32"/>
          <w:lang w:val="en-US" w:eastAsia="zh-CN" w:bidi="ar-SA"/>
        </w:rPr>
        <w:t>分（含）—</w:t>
      </w:r>
      <w:r>
        <w:rPr>
          <w:rFonts w:hint="default" w:ascii="Times New Roman" w:hAnsi="Times New Roman" w:eastAsia="仿宋_GB2312" w:cs="Times New Roman"/>
          <w:kern w:val="2"/>
          <w:sz w:val="32"/>
          <w:szCs w:val="32"/>
          <w:lang w:val="en-US" w:eastAsia="zh-CN" w:bidi="ar-SA"/>
        </w:rPr>
        <w:t>100</w:t>
      </w:r>
      <w:r>
        <w:rPr>
          <w:rFonts w:hint="eastAsia" w:ascii="Times New Roman" w:hAnsi="Times New Roman" w:eastAsia="仿宋_GB2312" w:cs="Times New Roman"/>
          <w:kern w:val="2"/>
          <w:sz w:val="32"/>
          <w:szCs w:val="32"/>
          <w:lang w:val="en-US" w:eastAsia="zh-CN" w:bidi="ar-SA"/>
        </w:rPr>
        <w:t>分为优，</w:t>
      </w:r>
      <w:r>
        <w:rPr>
          <w:rFonts w:hint="default" w:ascii="Times New Roman" w:hAnsi="Times New Roman" w:eastAsia="仿宋_GB2312" w:cs="Times New Roman"/>
          <w:kern w:val="2"/>
          <w:sz w:val="32"/>
          <w:szCs w:val="32"/>
          <w:lang w:val="en-US" w:eastAsia="zh-CN" w:bidi="ar-SA"/>
        </w:rPr>
        <w:t>80</w:t>
      </w:r>
      <w:r>
        <w:rPr>
          <w:rFonts w:hint="eastAsia" w:ascii="Times New Roman" w:hAnsi="Times New Roman" w:eastAsia="仿宋_GB2312" w:cs="Times New Roman"/>
          <w:kern w:val="2"/>
          <w:sz w:val="32"/>
          <w:szCs w:val="32"/>
          <w:lang w:val="en-US" w:eastAsia="zh-CN" w:bidi="ar-SA"/>
        </w:rPr>
        <w:t>分（含）—</w:t>
      </w:r>
      <w:r>
        <w:rPr>
          <w:rFonts w:hint="default" w:ascii="Times New Roman" w:hAnsi="Times New Roman" w:eastAsia="仿宋_GB2312" w:cs="Times New Roman"/>
          <w:kern w:val="2"/>
          <w:sz w:val="32"/>
          <w:szCs w:val="32"/>
          <w:lang w:val="en-US" w:eastAsia="zh-CN" w:bidi="ar-SA"/>
        </w:rPr>
        <w:t>90</w:t>
      </w:r>
      <w:r>
        <w:rPr>
          <w:rFonts w:hint="eastAsia" w:ascii="Times New Roman" w:hAnsi="Times New Roman" w:eastAsia="仿宋_GB2312" w:cs="Times New Roman"/>
          <w:kern w:val="2"/>
          <w:sz w:val="32"/>
          <w:szCs w:val="32"/>
          <w:lang w:val="en-US" w:eastAsia="zh-CN" w:bidi="ar-SA"/>
        </w:rPr>
        <w:t>分为良，</w:t>
      </w:r>
      <w:r>
        <w:rPr>
          <w:rFonts w:hint="default" w:ascii="Times New Roman" w:hAnsi="Times New Roman" w:eastAsia="仿宋_GB2312" w:cs="Times New Roman"/>
          <w:kern w:val="2"/>
          <w:sz w:val="32"/>
          <w:szCs w:val="32"/>
          <w:lang w:val="en-US" w:eastAsia="zh-CN" w:bidi="ar-SA"/>
        </w:rPr>
        <w:t>60</w:t>
      </w:r>
      <w:r>
        <w:rPr>
          <w:rFonts w:hint="eastAsia" w:ascii="Times New Roman" w:hAnsi="Times New Roman" w:eastAsia="仿宋_GB2312" w:cs="Times New Roman"/>
          <w:kern w:val="2"/>
          <w:sz w:val="32"/>
          <w:szCs w:val="32"/>
          <w:lang w:val="en-US" w:eastAsia="zh-CN" w:bidi="ar-SA"/>
        </w:rPr>
        <w:t>分（含）—</w:t>
      </w:r>
      <w:r>
        <w:rPr>
          <w:rFonts w:hint="default" w:ascii="Times New Roman" w:hAnsi="Times New Roman" w:eastAsia="仿宋_GB2312" w:cs="Times New Roman"/>
          <w:kern w:val="2"/>
          <w:sz w:val="32"/>
          <w:szCs w:val="32"/>
          <w:lang w:val="en-US" w:eastAsia="zh-CN" w:bidi="ar-SA"/>
        </w:rPr>
        <w:t>80</w:t>
      </w:r>
      <w:r>
        <w:rPr>
          <w:rFonts w:hint="eastAsia" w:ascii="Times New Roman" w:hAnsi="Times New Roman" w:eastAsia="仿宋_GB2312" w:cs="Times New Roman"/>
          <w:kern w:val="2"/>
          <w:sz w:val="32"/>
          <w:szCs w:val="32"/>
          <w:lang w:val="en-US" w:eastAsia="zh-CN" w:bidi="ar-SA"/>
        </w:rPr>
        <w:t>分为较差，</w:t>
      </w:r>
      <w:r>
        <w:rPr>
          <w:rFonts w:hint="default" w:ascii="Times New Roman" w:hAnsi="Times New Roman" w:eastAsia="仿宋_GB2312" w:cs="Times New Roman"/>
          <w:kern w:val="2"/>
          <w:sz w:val="32"/>
          <w:szCs w:val="32"/>
          <w:lang w:val="en-US" w:eastAsia="zh-CN" w:bidi="ar-SA"/>
        </w:rPr>
        <w:t>60</w:t>
      </w:r>
      <w:r>
        <w:rPr>
          <w:rFonts w:hint="eastAsia" w:ascii="Times New Roman" w:hAnsi="Times New Roman" w:eastAsia="仿宋_GB2312" w:cs="Times New Roman"/>
          <w:kern w:val="2"/>
          <w:sz w:val="32"/>
          <w:szCs w:val="32"/>
          <w:lang w:val="en-US" w:eastAsia="zh-CN" w:bidi="ar-SA"/>
        </w:rPr>
        <w:t>分以下为差。</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eastAsia"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（五）开展项目现场评价</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0" w:firstLineChars="200"/>
        <w:jc w:val="both"/>
        <w:textAlignment w:val="auto"/>
        <w:rPr>
          <w:rFonts w:hint="default" w:ascii="楷体" w:hAnsi="楷体" w:eastAsia="楷体" w:cs="楷体"/>
          <w:b/>
          <w:bCs/>
          <w:sz w:val="32"/>
          <w:szCs w:val="32"/>
          <w:highlight w:val="none"/>
          <w:lang w:val="en-US" w:eastAsia="zh-CN" w:bidi="ar-SA"/>
        </w:rPr>
      </w:pPr>
      <w:r>
        <w:rPr>
          <w:rFonts w:hint="eastAsia" w:ascii="Times New Roman" w:hAnsi="Times New Roman" w:eastAsia="仿宋_GB2312" w:cs="Times New Roman"/>
          <w:kern w:val="2"/>
          <w:sz w:val="32"/>
          <w:szCs w:val="32"/>
          <w:lang w:val="en-US" w:eastAsia="zh-CN" w:bidi="ar-SA"/>
        </w:rPr>
        <w:t>现场评价工作内容主要有：</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1</w:t>
      </w:r>
      <w:r>
        <w:rPr>
          <w:rFonts w:hint="eastAsia" w:ascii="Times New Roman" w:hAnsi="Times New Roman" w:eastAsia="仿宋_GB2312" w:cs="Times New Roman"/>
          <w:b/>
          <w:bCs/>
          <w:kern w:val="2"/>
          <w:sz w:val="32"/>
          <w:szCs w:val="32"/>
          <w:lang w:val="en-US" w:eastAsia="zh-CN" w:bidi="ar-SA"/>
        </w:rPr>
        <w:t>.资料收集。</w:t>
      </w:r>
      <w:r>
        <w:rPr>
          <w:rFonts w:hint="eastAsia" w:ascii="Times New Roman" w:hAnsi="Times New Roman" w:eastAsia="仿宋_GB2312" w:cs="Times New Roman"/>
          <w:kern w:val="2"/>
          <w:sz w:val="32"/>
          <w:szCs w:val="32"/>
          <w:lang w:val="en-US" w:eastAsia="zh-CN" w:bidi="ar-SA"/>
        </w:rPr>
        <w:t>收集与邵阳市本级城镇大病保险承办服务项目有关的资料，如：与政策制度相关的通知档、与招投标流程相关的合同协议书和计划审批表等、与合同履约保障相关的资金管理制度和财务制度等、以及与具体实施效果相关的会计资料和自评报告等。</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2</w:t>
      </w:r>
      <w:r>
        <w:rPr>
          <w:rFonts w:hint="eastAsia" w:ascii="Times New Roman" w:hAnsi="Times New Roman" w:eastAsia="仿宋_GB2312" w:cs="Times New Roman"/>
          <w:b/>
          <w:bCs/>
          <w:kern w:val="2"/>
          <w:sz w:val="32"/>
          <w:szCs w:val="32"/>
          <w:lang w:val="en-US" w:eastAsia="zh-CN" w:bidi="ar-SA"/>
        </w:rPr>
        <w:t>.沟通交流。</w:t>
      </w:r>
      <w:r>
        <w:rPr>
          <w:rFonts w:hint="eastAsia" w:ascii="Times New Roman" w:hAnsi="Times New Roman" w:eastAsia="仿宋_GB2312" w:cs="Times New Roman"/>
          <w:kern w:val="2"/>
          <w:sz w:val="32"/>
          <w:szCs w:val="32"/>
          <w:lang w:val="en-US" w:eastAsia="zh-CN" w:bidi="ar-SA"/>
        </w:rPr>
        <w:t>向熟悉大病医保政策以及项目立项、实施、管理的相关人员询问具体情况，听取项目实施单位对评价内容相关情况的介绍。</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3</w:t>
      </w:r>
      <w:r>
        <w:rPr>
          <w:rFonts w:hint="eastAsia" w:ascii="Times New Roman" w:hAnsi="Times New Roman" w:eastAsia="仿宋_GB2312" w:cs="Times New Roman"/>
          <w:b/>
          <w:bCs/>
          <w:kern w:val="2"/>
          <w:sz w:val="32"/>
          <w:szCs w:val="32"/>
          <w:lang w:val="en-US" w:eastAsia="zh-CN" w:bidi="ar-SA"/>
        </w:rPr>
        <w:t>.实地核查。</w:t>
      </w:r>
      <w:r>
        <w:rPr>
          <w:rFonts w:hint="eastAsia" w:ascii="Times New Roman" w:hAnsi="Times New Roman" w:eastAsia="仿宋_GB2312" w:cs="Times New Roman"/>
          <w:kern w:val="2"/>
          <w:sz w:val="32"/>
          <w:szCs w:val="32"/>
          <w:lang w:val="en-US" w:eastAsia="zh-CN" w:bidi="ar-SA"/>
        </w:rPr>
        <w:t>通过询问、核对、勘查、检查等方法，对大病保险承办服务项目和资金管理制度的建立和健全情况、管理责任制的建立和落实情况、项目建设和完成情况、资金使用情况等进行现场检查和核实，获取绩效评价需要的基础资料。</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4</w:t>
      </w:r>
      <w:r>
        <w:rPr>
          <w:rFonts w:hint="eastAsia" w:ascii="Times New Roman" w:hAnsi="Times New Roman" w:eastAsia="仿宋_GB2312" w:cs="Times New Roman"/>
          <w:b/>
          <w:bCs/>
          <w:kern w:val="2"/>
          <w:sz w:val="32"/>
          <w:szCs w:val="32"/>
          <w:lang w:val="en-US" w:eastAsia="zh-CN" w:bidi="ar-SA"/>
        </w:rPr>
        <w:t>.问卷调查。</w:t>
      </w:r>
      <w:r>
        <w:rPr>
          <w:rFonts w:hint="eastAsia" w:ascii="Times New Roman" w:hAnsi="Times New Roman" w:eastAsia="仿宋_GB2312" w:cs="Times New Roman"/>
          <w:kern w:val="2"/>
          <w:sz w:val="32"/>
          <w:szCs w:val="32"/>
          <w:lang w:val="en-US" w:eastAsia="zh-CN" w:bidi="ar-SA"/>
        </w:rPr>
        <w:t>对项目实施的公众满意度发放问卷，问卷调查需要明确问题的数量、样本数量、抽样方法及抽样比例等。</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5</w:t>
      </w:r>
      <w:r>
        <w:rPr>
          <w:rFonts w:hint="eastAsia" w:ascii="Times New Roman" w:hAnsi="Times New Roman" w:eastAsia="仿宋_GB2312" w:cs="Times New Roman"/>
          <w:b/>
          <w:bCs/>
          <w:kern w:val="2"/>
          <w:sz w:val="32"/>
          <w:szCs w:val="32"/>
          <w:lang w:val="en-US" w:eastAsia="zh-CN" w:bidi="ar-SA"/>
        </w:rPr>
        <w:t>.综合分析。</w:t>
      </w:r>
      <w:r>
        <w:rPr>
          <w:rFonts w:hint="eastAsia" w:ascii="Times New Roman" w:hAnsi="Times New Roman" w:eastAsia="仿宋_GB2312" w:cs="Times New Roman"/>
          <w:kern w:val="2"/>
          <w:sz w:val="32"/>
          <w:szCs w:val="32"/>
          <w:lang w:val="en-US" w:eastAsia="zh-CN" w:bidi="ar-SA"/>
        </w:rPr>
        <w:t>归纳汇总提供的佐证资料及项目单位的自评报告，结合现场调查情况进行综合分析。</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6.撰写评价报告。</w:t>
      </w:r>
      <w:r>
        <w:rPr>
          <w:rFonts w:hint="eastAsia" w:ascii="Times New Roman" w:hAnsi="Times New Roman" w:eastAsia="仿宋_GB2312" w:cs="Times New Roman"/>
          <w:kern w:val="2"/>
          <w:sz w:val="32"/>
          <w:szCs w:val="32"/>
          <w:lang w:val="en-US" w:eastAsia="zh-CN" w:bidi="ar-SA"/>
        </w:rPr>
        <w:t>评价组依据各项评价指标进行评价和打分，形成绩效评价报告。</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三、项目主要绩效及评价结论（附相关评分表）</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default"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（一）项目主要绩效</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项目在采购程序、采购方式符合《中华人民共和国招标投标法》、《中华人民共和国政府采购法》及其实施条例法规要求，且采购过程公平、采购结果公正、采购信息公开；在项目实施中，保险款理赔及时，一定程度上缓解了部分参保人群的经济压力。具体效益如下：</w:t>
      </w:r>
    </w:p>
    <w:p>
      <w:pPr>
        <w:pStyle w:val="138"/>
        <w:keepNext w:val="0"/>
        <w:keepLines w:val="0"/>
        <w:pageBreakBefore w:val="0"/>
        <w:widowControl w:val="0"/>
        <w:numPr>
          <w:ilvl w:val="0"/>
          <w:numId w:val="13"/>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default"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采购程序严谨，符合政策规定。</w:t>
      </w:r>
      <w:r>
        <w:rPr>
          <w:rFonts w:hint="eastAsia" w:ascii="Times New Roman" w:hAnsi="Times New Roman" w:eastAsia="仿宋_GB2312" w:cs="Times New Roman"/>
          <w:kern w:val="2"/>
          <w:sz w:val="32"/>
          <w:szCs w:val="32"/>
          <w:lang w:val="en-US" w:eastAsia="zh-CN" w:bidi="ar-SA"/>
        </w:rPr>
        <w:t>从招标、投标、开标、评标到中标，</w:t>
      </w:r>
      <w:r>
        <w:rPr>
          <w:rFonts w:hint="eastAsia" w:ascii="Times New Roman" w:hAnsi="Times New Roman" w:eastAsia="仿宋_GB2312" w:cs="Times New Roman"/>
          <w:b w:val="0"/>
          <w:bCs w:val="0"/>
          <w:kern w:val="2"/>
          <w:sz w:val="32"/>
          <w:szCs w:val="32"/>
          <w:lang w:val="en-US" w:eastAsia="zh-CN" w:bidi="ar-SA"/>
        </w:rPr>
        <w:t>整个采购</w:t>
      </w:r>
      <w:r>
        <w:rPr>
          <w:rFonts w:hint="eastAsia" w:ascii="Times New Roman" w:hAnsi="Times New Roman" w:eastAsia="仿宋_GB2312" w:cs="Times New Roman"/>
          <w:kern w:val="2"/>
          <w:sz w:val="32"/>
          <w:szCs w:val="32"/>
          <w:lang w:val="en-US" w:eastAsia="zh-CN" w:bidi="ar-SA"/>
        </w:rPr>
        <w:t>程序基本合规合法。</w:t>
      </w:r>
    </w:p>
    <w:p>
      <w:pPr>
        <w:pStyle w:val="138"/>
        <w:keepNext w:val="0"/>
        <w:keepLines w:val="0"/>
        <w:pageBreakBefore w:val="0"/>
        <w:widowControl w:val="0"/>
        <w:numPr>
          <w:ilvl w:val="0"/>
          <w:numId w:val="13"/>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default"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采购过程公平。</w:t>
      </w:r>
      <w:r>
        <w:rPr>
          <w:rFonts w:hint="default" w:ascii="Times New Roman" w:hAnsi="Times New Roman" w:eastAsia="仿宋_GB2312" w:cs="Times New Roman"/>
          <w:kern w:val="2"/>
          <w:sz w:val="32"/>
          <w:szCs w:val="32"/>
          <w:lang w:val="en-US" w:eastAsia="zh-CN" w:bidi="ar-SA"/>
        </w:rPr>
        <w:t>政府采购领域</w:t>
      </w:r>
      <w:r>
        <w:rPr>
          <w:rFonts w:hint="eastAsia" w:ascii="Times New Roman" w:hAnsi="Times New Roman" w:eastAsia="仿宋_GB2312" w:cs="Times New Roman"/>
          <w:kern w:val="2"/>
          <w:sz w:val="32"/>
          <w:szCs w:val="32"/>
          <w:lang w:val="en-US" w:eastAsia="zh-CN" w:bidi="ar-SA"/>
        </w:rPr>
        <w:t>中无妨碍</w:t>
      </w:r>
      <w:r>
        <w:rPr>
          <w:rFonts w:hint="default" w:ascii="Times New Roman" w:hAnsi="Times New Roman" w:eastAsia="仿宋_GB2312" w:cs="Times New Roman"/>
          <w:kern w:val="2"/>
          <w:sz w:val="32"/>
          <w:szCs w:val="32"/>
          <w:lang w:val="en-US" w:eastAsia="zh-CN" w:bidi="ar-SA"/>
        </w:rPr>
        <w:t>公平竞争的规定和做法</w:t>
      </w:r>
      <w:r>
        <w:rPr>
          <w:rFonts w:hint="eastAsia" w:ascii="Times New Roman" w:hAnsi="Times New Roman" w:eastAsia="仿宋_GB2312" w:cs="Times New Roman"/>
          <w:kern w:val="2"/>
          <w:sz w:val="32"/>
          <w:szCs w:val="32"/>
          <w:lang w:val="en-US" w:eastAsia="zh-CN" w:bidi="ar-SA"/>
        </w:rPr>
        <w:t>。</w:t>
      </w:r>
    </w:p>
    <w:p>
      <w:pPr>
        <w:pStyle w:val="138"/>
        <w:keepNext w:val="0"/>
        <w:keepLines w:val="0"/>
        <w:pageBreakBefore w:val="0"/>
        <w:widowControl w:val="0"/>
        <w:numPr>
          <w:ilvl w:val="0"/>
          <w:numId w:val="13"/>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default"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采购结果公正。</w:t>
      </w:r>
      <w:r>
        <w:rPr>
          <w:rFonts w:hint="default" w:ascii="Times New Roman" w:hAnsi="Times New Roman" w:eastAsia="仿宋_GB2312" w:cs="Times New Roman"/>
          <w:kern w:val="2"/>
          <w:sz w:val="32"/>
          <w:szCs w:val="32"/>
          <w:lang w:val="en-US" w:eastAsia="zh-CN" w:bidi="ar-SA"/>
        </w:rPr>
        <w:t>评标评审、中标(成交)结果公正</w:t>
      </w:r>
      <w:r>
        <w:rPr>
          <w:rFonts w:hint="eastAsia" w:ascii="Times New Roman" w:hAnsi="Times New Roman" w:eastAsia="仿宋_GB2312" w:cs="Times New Roman"/>
          <w:kern w:val="2"/>
          <w:sz w:val="32"/>
          <w:szCs w:val="32"/>
          <w:lang w:val="en-US" w:eastAsia="zh-CN" w:bidi="ar-SA"/>
        </w:rPr>
        <w:t>。</w:t>
      </w:r>
    </w:p>
    <w:p>
      <w:pPr>
        <w:pStyle w:val="138"/>
        <w:keepNext w:val="0"/>
        <w:keepLines w:val="0"/>
        <w:pageBreakBefore w:val="0"/>
        <w:widowControl w:val="0"/>
        <w:numPr>
          <w:ilvl w:val="0"/>
          <w:numId w:val="13"/>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default"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采购信息公开。</w:t>
      </w:r>
      <w:r>
        <w:rPr>
          <w:rFonts w:hint="eastAsia" w:ascii="Times New Roman" w:hAnsi="Times New Roman" w:eastAsia="仿宋_GB2312" w:cs="Times New Roman"/>
          <w:kern w:val="2"/>
          <w:sz w:val="32"/>
          <w:szCs w:val="32"/>
          <w:lang w:val="en-US" w:eastAsia="zh-CN" w:bidi="ar-SA"/>
        </w:rPr>
        <w:t>按照相关规定做到了信息公开。</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0" w:firstLine="643" w:firstLineChars="200"/>
        <w:jc w:val="both"/>
        <w:textAlignment w:val="auto"/>
        <w:rPr>
          <w:rFonts w:hint="default" w:ascii="Times New Roman" w:hAnsi="Times New Roman" w:eastAsia="仿宋_GB2312" w:cs="Times New Roman"/>
          <w:color w:val="FF0000"/>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5、项目的实施运营，缓解了部分参保人群的经济压力。</w:t>
      </w:r>
      <w:r>
        <w:rPr>
          <w:rFonts w:hint="eastAsia" w:ascii="Times New Roman" w:hAnsi="Times New Roman" w:eastAsia="仿宋_GB2312" w:cs="Times New Roman"/>
          <w:kern w:val="2"/>
          <w:sz w:val="32"/>
          <w:szCs w:val="32"/>
          <w:lang w:val="en-US" w:eastAsia="zh-CN" w:bidi="ar-SA"/>
        </w:rPr>
        <w:t>理赔及时，公众满意度高，大病保险作为基本医疗保障制度的拓展和延申，对大病患者发生的高额医疗费用，给予进一步保障，避免因病返贫现象的发生。</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3" w:firstLineChars="200"/>
        <w:jc w:val="both"/>
        <w:textAlignment w:val="auto"/>
        <w:rPr>
          <w:rFonts w:hint="default" w:ascii="楷体" w:hAnsi="楷体" w:eastAsia="楷体" w:cs="楷体"/>
          <w:b/>
          <w:bCs/>
          <w:sz w:val="32"/>
          <w:szCs w:val="32"/>
          <w:highlight w:val="none"/>
          <w:lang w:val="en-US" w:eastAsia="zh-CN" w:bidi="ar-SA"/>
        </w:rPr>
      </w:pPr>
      <w:r>
        <w:rPr>
          <w:rFonts w:hint="eastAsia" w:ascii="楷体" w:hAnsi="楷体" w:eastAsia="楷体" w:cs="楷体"/>
          <w:b/>
          <w:bCs/>
          <w:sz w:val="32"/>
          <w:szCs w:val="32"/>
          <w:highlight w:val="none"/>
          <w:lang w:val="en-US" w:eastAsia="zh-CN" w:bidi="ar-SA"/>
        </w:rPr>
        <w:t>（二）绩效评价结论</w:t>
      </w:r>
    </w:p>
    <w:p>
      <w:pPr>
        <w:pStyle w:val="2"/>
        <w:keepNext w:val="0"/>
        <w:keepLines w:val="0"/>
        <w:pageBreakBefore w:val="0"/>
        <w:widowControl/>
        <w:kinsoku/>
        <w:wordWrap/>
        <w:overflowPunct/>
        <w:topLinePunct w:val="0"/>
        <w:autoSpaceDE/>
        <w:autoSpaceDN/>
        <w:bidi w:val="0"/>
        <w:adjustRightInd/>
        <w:snapToGrid/>
        <w:spacing w:after="0" w:line="600" w:lineRule="exact"/>
        <w:ind w:leftChars="0" w:firstLine="640" w:firstLineChars="200"/>
        <w:jc w:val="both"/>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职工大病保险承办服务项目绩效评价综合得分为86分，评价等级为良。其中，决策得</w:t>
      </w:r>
      <w:r>
        <w:rPr>
          <w:rFonts w:hint="default" w:ascii="Times New Roman" w:hAnsi="Times New Roman" w:eastAsia="仿宋_GB2312" w:cs="Times New Roman"/>
          <w:kern w:val="2"/>
          <w:sz w:val="32"/>
          <w:szCs w:val="32"/>
          <w:highlight w:val="none"/>
          <w:lang w:val="en-US" w:eastAsia="zh-CN" w:bidi="ar-SA"/>
        </w:rPr>
        <w:t>1</w:t>
      </w:r>
      <w:r>
        <w:rPr>
          <w:rFonts w:hint="eastAsia" w:ascii="Times New Roman" w:hAnsi="Times New Roman" w:eastAsia="仿宋_GB2312" w:cs="Times New Roman"/>
          <w:kern w:val="2"/>
          <w:sz w:val="32"/>
          <w:szCs w:val="32"/>
          <w:highlight w:val="none"/>
          <w:lang w:val="en-US" w:eastAsia="zh-CN" w:bidi="ar-SA"/>
        </w:rPr>
        <w:t>2分，过程得34分，产出得22分，效益得20分。下图为各指标得分情况：</w:t>
      </w:r>
    </w:p>
    <w:tbl>
      <w:tblPr>
        <w:tblStyle w:val="35"/>
        <w:tblW w:w="92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4"/>
        <w:gridCol w:w="1384"/>
        <w:gridCol w:w="1385"/>
        <w:gridCol w:w="1385"/>
        <w:gridCol w:w="1385"/>
        <w:gridCol w:w="1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5" w:hRule="atLeast"/>
        </w:trPr>
        <w:tc>
          <w:tcPr>
            <w:tcW w:w="2314"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项目</w:t>
            </w:r>
          </w:p>
        </w:tc>
        <w:tc>
          <w:tcPr>
            <w:tcW w:w="1384"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决策</w:t>
            </w:r>
          </w:p>
        </w:tc>
        <w:tc>
          <w:tcPr>
            <w:tcW w:w="1385"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过程</w:t>
            </w:r>
          </w:p>
        </w:tc>
        <w:tc>
          <w:tcPr>
            <w:tcW w:w="1385"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产出</w:t>
            </w:r>
          </w:p>
        </w:tc>
        <w:tc>
          <w:tcPr>
            <w:tcW w:w="1385"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效益</w:t>
            </w:r>
          </w:p>
        </w:tc>
        <w:tc>
          <w:tcPr>
            <w:tcW w:w="1385" w:type="dxa"/>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3" w:hRule="atLeast"/>
        </w:trPr>
        <w:tc>
          <w:tcPr>
            <w:tcW w:w="2314"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标准分值</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Times New Roman" w:hAnsi="Times New Roman" w:eastAsia="宋体" w:cs="Times New Roman"/>
                <w:i w:val="0"/>
                <w:iCs w:val="0"/>
                <w:color w:val="000000"/>
                <w:kern w:val="0"/>
                <w:sz w:val="22"/>
                <w:szCs w:val="22"/>
                <w:u w:val="none"/>
                <w:lang w:val="en-US" w:eastAsia="zh-CN" w:bidi="ar"/>
              </w:rPr>
              <w:t>6</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29</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20</w:t>
            </w:r>
          </w:p>
        </w:tc>
        <w:tc>
          <w:tcPr>
            <w:tcW w:w="138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after="0"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314" w:type="dxa"/>
            <w:tcBorders>
              <w:top w:val="single" w:color="000000" w:sz="4"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实际得分</w:t>
            </w:r>
          </w:p>
        </w:tc>
        <w:tc>
          <w:tcPr>
            <w:tcW w:w="1384"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Times New Roman" w:hAnsi="Times New Roman" w:eastAsia="宋体" w:cs="Times New Roman"/>
                <w:i w:val="0"/>
                <w:iCs w:val="0"/>
                <w:color w:val="000000"/>
                <w:kern w:val="0"/>
                <w:sz w:val="22"/>
                <w:szCs w:val="22"/>
                <w:u w:val="none"/>
                <w:lang w:val="en-US" w:eastAsia="zh-CN" w:bidi="ar"/>
              </w:rPr>
              <w:t>2</w:t>
            </w:r>
          </w:p>
        </w:tc>
        <w:tc>
          <w:tcPr>
            <w:tcW w:w="1385"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32</w:t>
            </w:r>
          </w:p>
        </w:tc>
        <w:tc>
          <w:tcPr>
            <w:tcW w:w="1385"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r>
              <w:rPr>
                <w:rFonts w:hint="eastAsia" w:ascii="Times New Roman" w:hAnsi="Times New Roman" w:eastAsia="宋体" w:cs="Times New Roman"/>
                <w:i w:val="0"/>
                <w:iCs w:val="0"/>
                <w:color w:val="000000"/>
                <w:kern w:val="0"/>
                <w:sz w:val="22"/>
                <w:szCs w:val="22"/>
                <w:u w:val="none"/>
                <w:lang w:val="en-US" w:eastAsia="zh-CN" w:bidi="ar"/>
              </w:rPr>
              <w:t>2</w:t>
            </w:r>
          </w:p>
        </w:tc>
        <w:tc>
          <w:tcPr>
            <w:tcW w:w="1385"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20</w:t>
            </w:r>
          </w:p>
        </w:tc>
        <w:tc>
          <w:tcPr>
            <w:tcW w:w="1385" w:type="dxa"/>
            <w:tcBorders>
              <w:top w:val="single" w:color="000000" w:sz="4" w:space="0"/>
              <w:left w:val="single" w:color="000000" w:sz="4" w:space="0"/>
              <w:bottom w:val="single" w:color="000000" w:sz="8" w:space="0"/>
              <w:right w:val="single" w:color="000000" w:sz="8" w:space="0"/>
            </w:tcBorders>
            <w:shd w:val="clear" w:color="auto" w:fill="auto"/>
            <w:vAlign w:val="center"/>
          </w:tcPr>
          <w:p>
            <w:pPr>
              <w:keepNext w:val="0"/>
              <w:keepLines w:val="0"/>
              <w:widowControl/>
              <w:suppressLineNumbers w:val="0"/>
              <w:spacing w:after="0"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86</w:t>
            </w:r>
          </w:p>
        </w:tc>
      </w:tr>
    </w:tbl>
    <w:p>
      <w:pPr>
        <w:pStyle w:val="2"/>
        <w:keepNext w:val="0"/>
        <w:keepLines w:val="0"/>
        <w:pageBreakBefore w:val="0"/>
        <w:widowControl/>
        <w:kinsoku/>
        <w:wordWrap/>
        <w:overflowPunct/>
        <w:topLinePunct w:val="0"/>
        <w:autoSpaceDE/>
        <w:autoSpaceDN/>
        <w:bidi w:val="0"/>
        <w:adjustRightInd/>
        <w:snapToGrid/>
        <w:spacing w:after="0" w:line="58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各项明细指标得分情况详见附件2《邵阳市本级城镇职工大病保险承办服务项目绩效评价指标评分表》。</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80" w:lineRule="exact"/>
        <w:ind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四、绩效评价指标分析</w:t>
      </w:r>
    </w:p>
    <w:p>
      <w:pPr>
        <w:pStyle w:val="2"/>
        <w:keepNext w:val="0"/>
        <w:keepLines w:val="0"/>
        <w:pageBreakBefore w:val="0"/>
        <w:widowControl/>
        <w:numPr>
          <w:ilvl w:val="0"/>
          <w:numId w:val="14"/>
        </w:numPr>
        <w:kinsoku/>
        <w:wordWrap/>
        <w:overflowPunct/>
        <w:topLinePunct w:val="0"/>
        <w:autoSpaceDE/>
        <w:autoSpaceDN/>
        <w:bidi w:val="0"/>
        <w:adjustRightInd/>
        <w:snapToGrid/>
        <w:spacing w:after="0" w:line="580" w:lineRule="exact"/>
        <w:ind w:leftChars="0" w:firstLine="643" w:firstLineChars="200"/>
        <w:jc w:val="both"/>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项目决策情况</w:t>
      </w:r>
    </w:p>
    <w:p>
      <w:pPr>
        <w:pStyle w:val="2"/>
        <w:keepNext w:val="0"/>
        <w:keepLines w:val="0"/>
        <w:pageBreakBefore w:val="0"/>
        <w:widowControl/>
        <w:kinsoku/>
        <w:wordWrap/>
        <w:overflowPunct/>
        <w:topLinePunct w:val="0"/>
        <w:autoSpaceDE/>
        <w:autoSpaceDN/>
        <w:bidi w:val="0"/>
        <w:adjustRightInd/>
        <w:snapToGrid/>
        <w:spacing w:after="0" w:line="580" w:lineRule="exact"/>
        <w:ind w:leftChars="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项目决策指标满分为15分，根据评分标准，决策评价得分为12分。指标包括项目立项、绩效目标，具体情况如下：</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80" w:lineRule="exact"/>
        <w:ind w:leftChars="0" w:firstLine="643" w:firstLineChars="200"/>
        <w:jc w:val="both"/>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1.项目立项（11分）</w:t>
      </w:r>
    </w:p>
    <w:p>
      <w:pPr>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Chars="0" w:right="0" w:righ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市医保中心根据</w:t>
      </w:r>
      <w:r>
        <w:rPr>
          <w:rFonts w:hint="default" w:ascii="Times New Roman" w:hAnsi="Times New Roman" w:eastAsia="仿宋_GB2312" w:cs="Times New Roman"/>
          <w:kern w:val="2"/>
          <w:sz w:val="32"/>
          <w:szCs w:val="32"/>
          <w:lang w:val="en-US" w:eastAsia="zh-CN" w:bidi="ar-SA"/>
        </w:rPr>
        <w:t>《关于调整城镇职工医疗保险政策有关问题的通知》</w:t>
      </w:r>
      <w:r>
        <w:rPr>
          <w:rFonts w:hint="eastAsia" w:ascii="Times New Roman" w:hAnsi="Times New Roman" w:eastAsia="仿宋_GB2312" w:cs="Times New Roman"/>
          <w:kern w:val="2"/>
          <w:sz w:val="32"/>
          <w:szCs w:val="32"/>
          <w:lang w:val="en-US" w:eastAsia="zh-CN" w:bidi="ar-SA"/>
        </w:rPr>
        <w:t>的相关要求及“十三五”规划，项目立项符合国家法律法规、国民经济发展规划和相关政策；符合行业发展规划和政策要求；与部门职责范围相符；属于公共财政支持范围；未与相关部门同类项目或部门内部相关项目重复。</w:t>
      </w:r>
    </w:p>
    <w:p>
      <w:pPr>
        <w:keepNext w:val="0"/>
        <w:keepLines w:val="0"/>
        <w:pageBreakBefore w:val="0"/>
        <w:widowControl/>
        <w:kinsoku/>
        <w:wordWrap/>
        <w:overflowPunct/>
        <w:topLinePunct w:val="0"/>
        <w:autoSpaceDE/>
        <w:autoSpaceDN/>
        <w:bidi w:val="0"/>
        <w:adjustRightInd/>
        <w:snapToGrid/>
        <w:spacing w:after="0" w:line="580" w:lineRule="exact"/>
        <w:ind w:leftChars="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项目按照规定的程序申请设立，审批文件符合相关要求，事前已经过集体决策等程序。根据评分标准，不扣分，最终得分为11分。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2.绩效目标（4分）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未设置</w:t>
      </w:r>
      <w:r>
        <w:rPr>
          <w:rFonts w:hint="eastAsia" w:ascii="Times New Roman" w:hAnsi="Times New Roman" w:eastAsia="仿宋_GB2312" w:cs="Times New Roman"/>
          <w:kern w:val="2"/>
          <w:sz w:val="32"/>
          <w:szCs w:val="32"/>
          <w:lang w:val="en-US" w:eastAsia="zh-CN" w:bidi="ar-SA"/>
        </w:rPr>
        <w:t>年度</w:t>
      </w:r>
      <w:r>
        <w:rPr>
          <w:rFonts w:hint="default" w:ascii="Times New Roman" w:hAnsi="Times New Roman" w:eastAsia="仿宋_GB2312" w:cs="Times New Roman"/>
          <w:kern w:val="2"/>
          <w:sz w:val="32"/>
          <w:szCs w:val="32"/>
          <w:lang w:val="en-US" w:eastAsia="zh-CN" w:bidi="ar-SA"/>
        </w:rPr>
        <w:t>绩效目标</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扣1分</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未设置绩效目标指标</w:t>
      </w:r>
      <w:r>
        <w:rPr>
          <w:rFonts w:hint="eastAsia" w:ascii="Times New Roman" w:hAnsi="Times New Roman" w:eastAsia="仿宋_GB2312" w:cs="Times New Roman"/>
          <w:kern w:val="2"/>
          <w:sz w:val="32"/>
          <w:szCs w:val="32"/>
          <w:lang w:val="en-US" w:eastAsia="zh-CN" w:bidi="ar-SA"/>
        </w:rPr>
        <w:t>且不反映项目产出效益和效果，</w:t>
      </w:r>
      <w:r>
        <w:rPr>
          <w:rFonts w:hint="default" w:ascii="Times New Roman" w:hAnsi="Times New Roman" w:eastAsia="仿宋_GB2312" w:cs="Times New Roman"/>
          <w:kern w:val="2"/>
          <w:sz w:val="32"/>
          <w:szCs w:val="32"/>
          <w:lang w:val="en-US" w:eastAsia="zh-CN" w:bidi="ar-SA"/>
        </w:rPr>
        <w:t>扣</w:t>
      </w:r>
      <w:r>
        <w:rPr>
          <w:rFonts w:hint="eastAsia" w:ascii="Times New Roman" w:hAnsi="Times New Roman" w:eastAsia="仿宋_GB2312" w:cs="Times New Roman"/>
          <w:kern w:val="2"/>
          <w:sz w:val="32"/>
          <w:szCs w:val="32"/>
          <w:lang w:val="en-US" w:eastAsia="zh-CN" w:bidi="ar-SA"/>
        </w:rPr>
        <w:t>2</w:t>
      </w:r>
      <w:r>
        <w:rPr>
          <w:rFonts w:hint="default" w:ascii="Times New Roman" w:hAnsi="Times New Roman" w:eastAsia="仿宋_GB2312" w:cs="Times New Roman"/>
          <w:kern w:val="2"/>
          <w:sz w:val="32"/>
          <w:szCs w:val="32"/>
          <w:lang w:val="en-US" w:eastAsia="zh-CN" w:bidi="ar-SA"/>
        </w:rPr>
        <w:t>分</w:t>
      </w:r>
      <w:r>
        <w:rPr>
          <w:rFonts w:hint="eastAsia" w:ascii="Times New Roman" w:hAnsi="Times New Roman" w:eastAsia="仿宋_GB2312" w:cs="Times New Roman"/>
          <w:kern w:val="2"/>
          <w:sz w:val="32"/>
          <w:szCs w:val="32"/>
          <w:lang w:val="en-US" w:eastAsia="zh-CN" w:bidi="ar-SA"/>
        </w:rPr>
        <w:t>，最终得分为1分。</w:t>
      </w:r>
    </w:p>
    <w:p>
      <w:pPr>
        <w:pStyle w:val="2"/>
        <w:keepNext w:val="0"/>
        <w:keepLines w:val="0"/>
        <w:pageBreakBefore w:val="0"/>
        <w:widowControl/>
        <w:numPr>
          <w:ilvl w:val="0"/>
          <w:numId w:val="14"/>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项目过程情况</w:t>
      </w:r>
    </w:p>
    <w:p>
      <w:pPr>
        <w:keepNext w:val="0"/>
        <w:keepLines w:val="0"/>
        <w:pageBreakBefore w:val="0"/>
        <w:widowControl/>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lang w:val="en-US" w:eastAsia="zh-CN" w:bidi="ar-SA"/>
        </w:rPr>
        <w:t>项目过</w:t>
      </w:r>
      <w:r>
        <w:rPr>
          <w:rFonts w:hint="eastAsia" w:ascii="Times New Roman" w:hAnsi="Times New Roman" w:eastAsia="仿宋_GB2312" w:cs="Times New Roman"/>
          <w:kern w:val="2"/>
          <w:sz w:val="32"/>
          <w:szCs w:val="32"/>
          <w:highlight w:val="none"/>
          <w:lang w:val="en-US" w:eastAsia="zh-CN" w:bidi="ar-SA"/>
        </w:rPr>
        <w:t>程指标满分为36分，根据评分标准，过程评价得分为32分。指标包括组织实施、资金管理，具体情况如下：</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Times New Roman" w:hAnsi="Times New Roman" w:eastAsia="仿宋_GB2312" w:cs="Times New Roman"/>
          <w:b/>
          <w:bCs/>
          <w:kern w:val="2"/>
          <w:sz w:val="32"/>
          <w:szCs w:val="32"/>
          <w:highlight w:val="none"/>
          <w:lang w:val="en-US" w:eastAsia="zh-CN" w:bidi="ar-SA"/>
        </w:rPr>
      </w:pPr>
      <w:r>
        <w:rPr>
          <w:rFonts w:hint="default" w:ascii="Times New Roman" w:hAnsi="Times New Roman" w:eastAsia="仿宋_GB2312" w:cs="Times New Roman"/>
          <w:b/>
          <w:bCs/>
          <w:kern w:val="2"/>
          <w:sz w:val="32"/>
          <w:szCs w:val="32"/>
          <w:highlight w:val="none"/>
          <w:lang w:val="en-US" w:eastAsia="zh-CN" w:bidi="ar-SA"/>
        </w:rPr>
        <w:t>1</w:t>
      </w:r>
      <w:r>
        <w:rPr>
          <w:rFonts w:hint="eastAsia" w:ascii="Times New Roman" w:hAnsi="Times New Roman" w:eastAsia="仿宋_GB2312" w:cs="Times New Roman"/>
          <w:b/>
          <w:bCs/>
          <w:kern w:val="2"/>
          <w:sz w:val="32"/>
          <w:szCs w:val="32"/>
          <w:highlight w:val="none"/>
          <w:lang w:val="en-US" w:eastAsia="zh-CN" w:bidi="ar-SA"/>
        </w:rPr>
        <w:t>.组织实施（33分）</w:t>
      </w:r>
    </w:p>
    <w:p>
      <w:pPr>
        <w:keepNext w:val="0"/>
        <w:keepLines w:val="0"/>
        <w:pageBreakBefore w:val="0"/>
        <w:widowControl/>
        <w:kinsoku/>
        <w:wordWrap/>
        <w:overflowPunct/>
        <w:topLinePunct w:val="0"/>
        <w:autoSpaceDE/>
        <w:autoSpaceDN/>
        <w:bidi w:val="0"/>
        <w:adjustRightInd/>
        <w:snapToGrid/>
        <w:spacing w:after="0" w:line="610"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本项目在采购程序、采购方式符合《中华人民共和国招标投标法》、《中华人民共和国政府采购法》及其实施条例法规要求，从招标、投标、开标、评标到中标，</w:t>
      </w:r>
      <w:r>
        <w:rPr>
          <w:rFonts w:hint="eastAsia" w:ascii="Times New Roman" w:hAnsi="Times New Roman" w:eastAsia="仿宋_GB2312" w:cs="Times New Roman"/>
          <w:b w:val="0"/>
          <w:bCs w:val="0"/>
          <w:kern w:val="2"/>
          <w:sz w:val="32"/>
          <w:szCs w:val="32"/>
          <w:lang w:val="en-US" w:eastAsia="zh-CN" w:bidi="ar-SA"/>
        </w:rPr>
        <w:t>整个采购</w:t>
      </w:r>
      <w:r>
        <w:rPr>
          <w:rFonts w:hint="eastAsia" w:ascii="Times New Roman" w:hAnsi="Times New Roman" w:eastAsia="仿宋_GB2312" w:cs="Times New Roman"/>
          <w:kern w:val="2"/>
          <w:sz w:val="32"/>
          <w:szCs w:val="32"/>
          <w:lang w:val="en-US" w:eastAsia="zh-CN" w:bidi="ar-SA"/>
        </w:rPr>
        <w:t>程序基本合规合法。但</w:t>
      </w:r>
      <w:r>
        <w:rPr>
          <w:rFonts w:hint="eastAsia" w:ascii="Calibri" w:hAnsi="Calibri" w:eastAsia="仿宋_GB2312" w:cs="Times New Roman"/>
          <w:kern w:val="2"/>
          <w:sz w:val="32"/>
          <w:szCs w:val="32"/>
          <w:lang w:val="en-US" w:eastAsia="zh-CN" w:bidi="ar-SA"/>
        </w:rPr>
        <w:t>参与投标的三家供应商全为太平洋系，存在关联关系且投标人数量有限，</w:t>
      </w:r>
      <w:r>
        <w:rPr>
          <w:rFonts w:hint="default" w:ascii="Times New Roman" w:hAnsi="Times New Roman" w:eastAsia="仿宋_GB2312" w:cs="Times New Roman"/>
          <w:kern w:val="2"/>
          <w:sz w:val="32"/>
          <w:szCs w:val="32"/>
          <w:lang w:val="en-US" w:eastAsia="zh-CN" w:bidi="ar-SA"/>
        </w:rPr>
        <w:t>扣</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US" w:eastAsia="zh-CN" w:bidi="ar-SA"/>
        </w:rPr>
        <w:t>分</w:t>
      </w:r>
      <w:r>
        <w:rPr>
          <w:rFonts w:hint="eastAsia" w:ascii="Times New Roman" w:hAnsi="Times New Roman" w:eastAsia="仿宋_GB2312" w:cs="Times New Roman"/>
          <w:kern w:val="2"/>
          <w:sz w:val="32"/>
          <w:szCs w:val="32"/>
          <w:lang w:val="en-US" w:eastAsia="zh-CN" w:bidi="ar-SA"/>
        </w:rPr>
        <w:t>，最终得分为29分。</w:t>
      </w:r>
    </w:p>
    <w:p>
      <w:pPr>
        <w:pStyle w:val="2"/>
        <w:rPr>
          <w:rFonts w:hint="eastAsia" w:ascii="Times New Roman" w:hAnsi="Times New Roman" w:eastAsia="仿宋_GB2312" w:cs="Times New Roman"/>
          <w:kern w:val="2"/>
          <w:sz w:val="32"/>
          <w:szCs w:val="32"/>
          <w:lang w:val="en-US" w:eastAsia="zh-CN" w:bidi="ar-SA"/>
        </w:rPr>
      </w:pPr>
    </w:p>
    <w:p>
      <w:pPr>
        <w:rPr>
          <w:rFonts w:hint="eastAsia"/>
          <w:lang w:val="en-US" w:eastAsia="zh-CN"/>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Times New Roman" w:hAnsi="Times New Roman" w:eastAsia="仿宋_GB2312" w:cs="Times New Roman"/>
          <w:b/>
          <w:bCs/>
          <w:kern w:val="2"/>
          <w:sz w:val="32"/>
          <w:szCs w:val="32"/>
          <w:highlight w:val="none"/>
          <w:lang w:val="en-US" w:eastAsia="zh-CN" w:bidi="ar-SA"/>
        </w:rPr>
      </w:pPr>
      <w:r>
        <w:rPr>
          <w:rFonts w:hint="default" w:ascii="Times New Roman" w:hAnsi="Times New Roman" w:eastAsia="仿宋_GB2312" w:cs="Times New Roman"/>
          <w:b/>
          <w:bCs/>
          <w:kern w:val="2"/>
          <w:sz w:val="32"/>
          <w:szCs w:val="32"/>
          <w:highlight w:val="none"/>
          <w:lang w:val="en-US" w:eastAsia="zh-CN" w:bidi="ar-SA"/>
        </w:rPr>
        <w:t>2</w:t>
      </w:r>
      <w:r>
        <w:rPr>
          <w:rFonts w:hint="eastAsia" w:ascii="Times New Roman" w:hAnsi="Times New Roman" w:eastAsia="仿宋_GB2312" w:cs="Times New Roman"/>
          <w:b/>
          <w:bCs/>
          <w:kern w:val="2"/>
          <w:sz w:val="32"/>
          <w:szCs w:val="32"/>
          <w:highlight w:val="none"/>
          <w:lang w:val="en-US" w:eastAsia="zh-CN" w:bidi="ar-SA"/>
        </w:rPr>
        <w:t>.资金管理（3分）</w:t>
      </w:r>
    </w:p>
    <w:p>
      <w:pPr>
        <w:keepNext w:val="0"/>
        <w:keepLines w:val="0"/>
        <w:pageBreakBefore w:val="0"/>
        <w:widowControl/>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经查阅项目明细账，项目资金使用符合相关的财务管理制度规定；不存在截留、挤占、挪用、虚列支出等情况。根据评分标准，不扣分，最终得分为3分。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（三）项目产出情况</w:t>
      </w:r>
    </w:p>
    <w:p>
      <w:pPr>
        <w:keepNext w:val="0"/>
        <w:keepLines w:val="0"/>
        <w:pageBreakBefore w:val="0"/>
        <w:widowControl/>
        <w:kinsoku/>
        <w:wordWrap/>
        <w:overflowPunct/>
        <w:topLinePunct w:val="0"/>
        <w:autoSpaceDE/>
        <w:autoSpaceDN/>
        <w:bidi w:val="0"/>
        <w:adjustRightInd/>
        <w:snapToGrid/>
        <w:spacing w:after="0" w:line="610" w:lineRule="exact"/>
        <w:ind w:leftChars="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项目产出指标满分为29分，根据评分标准，产出评价得分为</w:t>
      </w:r>
      <w:r>
        <w:rPr>
          <w:rFonts w:hint="default" w:ascii="Times New Roman" w:hAnsi="Times New Roman"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2分。指标包括产出数量、产出质量、产出时效，具体情况如下：</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Times New Roman" w:hAnsi="Times New Roman" w:eastAsia="仿宋_GB2312" w:cs="Times New Roman"/>
          <w:b/>
          <w:bCs/>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1</w:t>
      </w:r>
      <w:r>
        <w:rPr>
          <w:rFonts w:hint="eastAsia" w:ascii="Times New Roman" w:hAnsi="Times New Roman" w:eastAsia="仿宋_GB2312" w:cs="Times New Roman"/>
          <w:b/>
          <w:bCs/>
          <w:kern w:val="2"/>
          <w:sz w:val="32"/>
          <w:szCs w:val="32"/>
          <w:lang w:val="en-US" w:eastAsia="zh-CN" w:bidi="ar-SA"/>
        </w:rPr>
        <w:t>.产出数量（10分）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08" w:firstLineChars="200"/>
        <w:jc w:val="both"/>
        <w:textAlignment w:val="auto"/>
        <w:rPr>
          <w:rFonts w:hint="eastAsia" w:ascii="Times New Roman" w:hAnsi="Times New Roman" w:eastAsia="仿宋_GB2312" w:cs="Times New Roman"/>
          <w:kern w:val="2"/>
          <w:sz w:val="32"/>
          <w:szCs w:val="32"/>
          <w:lang w:val="en-US" w:eastAsia="zh-CN" w:bidi="ar-SA"/>
        </w:rPr>
      </w:pPr>
      <w:r>
        <w:rPr>
          <w:rFonts w:hint="default" w:ascii="仿宋_GB2312" w:hAnsi="仿宋" w:eastAsia="仿宋_GB2312"/>
          <w:spacing w:val="-8"/>
          <w:sz w:val="32"/>
          <w:szCs w:val="32"/>
          <w:lang w:val="en-US" w:eastAsia="zh-CN"/>
        </w:rPr>
        <w:t>2021年度总共为3235名参保人员提供了大病保险理赔服务，理赔金额为3286.22万元，赔付率100%。</w:t>
      </w:r>
      <w:r>
        <w:rPr>
          <w:rFonts w:hint="eastAsia" w:ascii="Times New Roman" w:hAnsi="Times New Roman" w:eastAsia="仿宋_GB2312" w:cs="Times New Roman"/>
          <w:kern w:val="2"/>
          <w:sz w:val="32"/>
          <w:szCs w:val="32"/>
          <w:lang w:val="en-US" w:eastAsia="zh-CN" w:bidi="ar-SA"/>
        </w:rPr>
        <w:t>项目在承保期间对邵阳市本级参加了城镇职工大病医疗互助的参保人员做到因赔尽赔。根据评分标准，不扣分，最终得分为10分。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2.产出质量（</w:t>
      </w:r>
      <w:r>
        <w:rPr>
          <w:rFonts w:hint="default" w:ascii="Times New Roman" w:hAnsi="Times New Roman" w:eastAsia="仿宋_GB2312" w:cs="Times New Roman"/>
          <w:b/>
          <w:bCs/>
          <w:kern w:val="2"/>
          <w:sz w:val="32"/>
          <w:szCs w:val="32"/>
          <w:lang w:val="en-US" w:eastAsia="zh-CN" w:bidi="ar-SA"/>
        </w:rPr>
        <w:t>1</w:t>
      </w:r>
      <w:r>
        <w:rPr>
          <w:rFonts w:hint="eastAsia" w:ascii="Times New Roman" w:hAnsi="Times New Roman" w:eastAsia="仿宋_GB2312" w:cs="Times New Roman"/>
          <w:b/>
          <w:bCs/>
          <w:kern w:val="2"/>
          <w:sz w:val="32"/>
          <w:szCs w:val="32"/>
          <w:lang w:val="en-US" w:eastAsia="zh-CN" w:bidi="ar-SA"/>
        </w:rPr>
        <w:t>0分）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采购项目基本符合符合采购需求中的技术要求，但未按要求做到每月每季进行一次专项稽核；未设立城镇职工大病保险专户；未进行季度基金运营分析报告。故扣3分，最终得分为7分。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Times New Roman" w:hAnsi="Times New Roman" w:eastAsia="仿宋_GB2312" w:cs="Times New Roman"/>
          <w:b/>
          <w:bCs/>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3</w:t>
      </w:r>
      <w:r>
        <w:rPr>
          <w:rFonts w:hint="eastAsia" w:ascii="Times New Roman" w:hAnsi="Times New Roman" w:eastAsia="仿宋_GB2312" w:cs="Times New Roman"/>
          <w:b/>
          <w:bCs/>
          <w:kern w:val="2"/>
          <w:sz w:val="32"/>
          <w:szCs w:val="32"/>
          <w:lang w:val="en-US" w:eastAsia="zh-CN" w:bidi="ar-SA"/>
        </w:rPr>
        <w:t>.产出时效（9分）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按照</w:t>
      </w:r>
      <w:r>
        <w:rPr>
          <w:rFonts w:hint="eastAsia" w:ascii="Times New Roman" w:hAnsi="Times New Roman" w:eastAsia="仿宋_GB2312" w:cs="Times New Roman"/>
          <w:kern w:val="2"/>
          <w:sz w:val="32"/>
          <w:szCs w:val="32"/>
          <w:highlight w:val="none"/>
          <w:lang w:val="en-US" w:eastAsia="zh-CN" w:bidi="ar-SA"/>
        </w:rPr>
        <w:t>采购协议约定,大病保险保费和承办服务费每个年度按3次结付，但第三期承办服务费的部分款项因为疫情超时结算；且合同协议表明，当保费发生亏损时，启用大病医疗互助风险准备金进行补偿，而风险金同样因为疫情没有按时结付，故</w:t>
      </w:r>
      <w:r>
        <w:rPr>
          <w:rFonts w:hint="eastAsia" w:ascii="Times New Roman" w:hAnsi="Times New Roman" w:eastAsia="仿宋_GB2312" w:cs="Times New Roman"/>
          <w:kern w:val="2"/>
          <w:sz w:val="32"/>
          <w:szCs w:val="32"/>
          <w:lang w:val="en-US" w:eastAsia="zh-CN" w:bidi="ar-SA"/>
        </w:rPr>
        <w:t>扣4分，最终得分为5分。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楷体" w:hAnsi="楷体" w:eastAsia="楷体" w:cs="楷体"/>
          <w:b/>
          <w:bCs/>
          <w:kern w:val="2"/>
          <w:sz w:val="32"/>
          <w:szCs w:val="32"/>
          <w:lang w:val="en-US" w:eastAsia="zh-CN" w:bidi="ar-SA"/>
        </w:rPr>
        <w:t>（四）项目效益情况</w:t>
      </w:r>
    </w:p>
    <w:p>
      <w:pPr>
        <w:keepNext w:val="0"/>
        <w:keepLines w:val="0"/>
        <w:pageBreakBefore w:val="0"/>
        <w:widowControl/>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项目效益指标满分20分，根据评分标准，效益评价得分为20分。指标包括社会效益、满意度，具体情况如下：</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1.社会效益（15分）</w:t>
      </w:r>
    </w:p>
    <w:p>
      <w:pPr>
        <w:pStyle w:val="138"/>
        <w:keepNext w:val="0"/>
        <w:keepLines w:val="0"/>
        <w:pageBreakBefore w:val="0"/>
        <w:widowControl w:val="0"/>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default"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采购过程公平、采购结果公正、采购信息公开，处理无争议，项目在实施运营中理赔及时，缓解了部分参保人群的经济压力。根据评分标准，不扣分，最终得分为15分。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2.满意度（</w:t>
      </w:r>
      <w:r>
        <w:rPr>
          <w:rFonts w:hint="default" w:ascii="Times New Roman" w:hAnsi="Times New Roman" w:eastAsia="仿宋_GB2312" w:cs="Times New Roman"/>
          <w:b/>
          <w:bCs/>
          <w:kern w:val="2"/>
          <w:sz w:val="32"/>
          <w:szCs w:val="32"/>
          <w:lang w:val="en-US" w:eastAsia="zh-CN" w:bidi="ar-SA"/>
        </w:rPr>
        <w:t>5</w:t>
      </w:r>
      <w:r>
        <w:rPr>
          <w:rFonts w:hint="eastAsia" w:ascii="Times New Roman" w:hAnsi="Times New Roman" w:eastAsia="仿宋_GB2312" w:cs="Times New Roman"/>
          <w:b/>
          <w:bCs/>
          <w:kern w:val="2"/>
          <w:sz w:val="32"/>
          <w:szCs w:val="32"/>
          <w:lang w:val="en-US" w:eastAsia="zh-CN" w:bidi="ar-SA"/>
        </w:rPr>
        <w:t>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评价组通过发放城镇职工客户面访满意度调查问卷，发放20份，收回20份。根据问卷调查选项汇总统计，大病已报销患者满意度达</w:t>
      </w:r>
      <w:r>
        <w:rPr>
          <w:rFonts w:hint="default" w:ascii="Times New Roman" w:hAnsi="Times New Roman" w:eastAsia="仿宋_GB2312" w:cs="Times New Roman"/>
          <w:kern w:val="2"/>
          <w:sz w:val="32"/>
          <w:szCs w:val="32"/>
          <w:lang w:val="en-US" w:eastAsia="zh-CN" w:bidi="ar-SA"/>
        </w:rPr>
        <w:t>98</w:t>
      </w:r>
      <w:r>
        <w:rPr>
          <w:rFonts w:hint="eastAsia" w:ascii="Times New Roman" w:hAnsi="Times New Roman" w:eastAsia="仿宋_GB2312" w:cs="Times New Roman"/>
          <w:kern w:val="2"/>
          <w:sz w:val="32"/>
          <w:szCs w:val="32"/>
          <w:lang w:val="en-US" w:eastAsia="zh-CN" w:bidi="ar-SA"/>
        </w:rPr>
        <w:t>%以上。根据评分标准，不扣分，最终得分为</w:t>
      </w:r>
      <w:r>
        <w:rPr>
          <w:rFonts w:hint="default" w:ascii="Times New Roman" w:hAnsi="Times New Roman" w:eastAsia="仿宋_GB2312" w:cs="Times New Roman"/>
          <w:kern w:val="2"/>
          <w:sz w:val="32"/>
          <w:szCs w:val="32"/>
          <w:lang w:val="en-US" w:eastAsia="zh-CN" w:bidi="ar-SA"/>
        </w:rPr>
        <w:t>5</w:t>
      </w:r>
      <w:r>
        <w:rPr>
          <w:rFonts w:hint="eastAsia" w:ascii="Times New Roman" w:hAnsi="Times New Roman" w:eastAsia="仿宋_GB2312" w:cs="Times New Roman"/>
          <w:kern w:val="2"/>
          <w:sz w:val="32"/>
          <w:szCs w:val="32"/>
          <w:lang w:val="en-US" w:eastAsia="zh-CN" w:bidi="ar-SA"/>
        </w:rPr>
        <w:t>分。</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五、存在的问题及原因分析</w:t>
      </w:r>
    </w:p>
    <w:p>
      <w:pPr>
        <w:pStyle w:val="2"/>
        <w:keepNext w:val="0"/>
        <w:keepLines w:val="0"/>
        <w:pageBreakBefore w:val="0"/>
        <w:widowControl/>
        <w:numPr>
          <w:ilvl w:val="0"/>
          <w:numId w:val="15"/>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存在的问题及原因分析</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default"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1.绩效目标未编报</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项目主管单位与实施单位未针对本项目及时编报整体绩效目标和年度绩效目标，未设置清晰、可衡量、反映产出效益和效果的目标指标值。</w:t>
      </w:r>
    </w:p>
    <w:p>
      <w:pPr>
        <w:rPr>
          <w:rFonts w:hint="eastAsia"/>
          <w:lang w:val="en-US" w:eastAsia="zh-CN"/>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2.供应商选择范围狭窄</w:t>
      </w:r>
    </w:p>
    <w:p>
      <w:pPr>
        <w:keepNext w:val="0"/>
        <w:keepLines w:val="0"/>
        <w:pageBreakBefore w:val="0"/>
        <w:widowControl/>
        <w:kinsoku/>
        <w:wordWrap/>
        <w:overflowPunct/>
        <w:topLinePunct w:val="0"/>
        <w:autoSpaceDE/>
        <w:autoSpaceDN/>
        <w:bidi w:val="0"/>
        <w:adjustRightInd/>
        <w:snapToGrid/>
        <w:spacing w:after="0" w:line="610" w:lineRule="exact"/>
        <w:ind w:firstLine="640" w:firstLineChars="200"/>
        <w:textAlignment w:val="auto"/>
        <w:rPr>
          <w:rFonts w:hint="eastAsia"/>
          <w:lang w:val="en-US" w:eastAsia="zh-CN"/>
        </w:rPr>
      </w:pPr>
      <w:r>
        <w:rPr>
          <w:rFonts w:hint="eastAsia" w:ascii="Calibri" w:hAnsi="Calibri" w:eastAsia="仿宋_GB2312" w:cs="Times New Roman"/>
          <w:kern w:val="2"/>
          <w:sz w:val="32"/>
          <w:szCs w:val="32"/>
          <w:lang w:val="en-US" w:eastAsia="zh-CN" w:bidi="ar-SA"/>
        </w:rPr>
        <w:t>参与投标的供应商分别是中国太平洋人寿保险股份有限公司邵阳中心支公司、太平财产保险有限公司湖南分公司、中国太平洋财产保险股份有限公司邵阳中心支公司，三家公司全为太平洋系，存在关联关系且投标人数量有限。</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default"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3.项目产出质量待提高</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US" w:eastAsia="zh-CN" w:bidi="ar-SA"/>
        </w:rPr>
        <w:t>）未按要求做到每月每季进行一次专项稽核；</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（2）未进行季度基金运营分析报告；</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（3）未设立城镇职工大病保险专户；</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（4）第三期承办服务费和风险金没有按照约定时间进行结付。</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六、有关建议</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3" w:firstLineChars="200"/>
        <w:jc w:val="both"/>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（一）设立绩效目标</w:t>
      </w:r>
    </w:p>
    <w:p>
      <w:pPr>
        <w:keepNext w:val="0"/>
        <w:keepLines w:val="0"/>
        <w:pageBreakBefore w:val="0"/>
        <w:widowControl/>
        <w:kinsoku/>
        <w:wordWrap/>
        <w:overflowPunct/>
        <w:topLinePunct w:val="0"/>
        <w:autoSpaceDE/>
        <w:autoSpaceDN/>
        <w:bidi w:val="0"/>
        <w:adjustRightInd/>
        <w:snapToGrid/>
        <w:spacing w:after="0" w:line="610"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树立绩效目标意识，根据实际情况细化、量化绩效目标，确保项目方向明确、目标清晰。</w:t>
      </w:r>
    </w:p>
    <w:p>
      <w:pPr>
        <w:pStyle w:val="2"/>
        <w:keepNext w:val="0"/>
        <w:keepLines w:val="0"/>
        <w:pageBreakBefore w:val="0"/>
        <w:widowControl/>
        <w:numPr>
          <w:ilvl w:val="0"/>
          <w:numId w:val="15"/>
        </w:numPr>
        <w:kinsoku/>
        <w:wordWrap/>
        <w:overflowPunct/>
        <w:topLinePunct w:val="0"/>
        <w:autoSpaceDE/>
        <w:autoSpaceDN/>
        <w:bidi w:val="0"/>
        <w:adjustRightInd/>
        <w:snapToGrid/>
        <w:spacing w:after="0" w:line="610" w:lineRule="exact"/>
        <w:ind w:left="0" w:leftChars="0" w:firstLine="643" w:firstLineChars="200"/>
        <w:jc w:val="both"/>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拓宽供应商选择范围</w:t>
      </w:r>
    </w:p>
    <w:p>
      <w:pPr>
        <w:pStyle w:val="2"/>
        <w:keepNext w:val="0"/>
        <w:keepLines w:val="0"/>
        <w:pageBreakBefore w:val="0"/>
        <w:widowControl/>
        <w:kinsoku/>
        <w:wordWrap/>
        <w:overflowPunct/>
        <w:topLinePunct w:val="0"/>
        <w:autoSpaceDE/>
        <w:autoSpaceDN/>
        <w:bidi w:val="0"/>
        <w:adjustRightInd/>
        <w:snapToGrid/>
        <w:spacing w:line="61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在供应商的选择上，应该拓宽范围，让更多保险公司参与其中，增加选择余地，提高经济效益，保证项目质量。</w:t>
      </w:r>
    </w:p>
    <w:p>
      <w:pPr>
        <w:pStyle w:val="2"/>
        <w:keepNext w:val="0"/>
        <w:keepLines w:val="0"/>
        <w:pageBreakBefore w:val="0"/>
        <w:widowControl/>
        <w:numPr>
          <w:ilvl w:val="0"/>
          <w:numId w:val="15"/>
        </w:numPr>
        <w:kinsoku/>
        <w:wordWrap/>
        <w:overflowPunct/>
        <w:topLinePunct w:val="0"/>
        <w:autoSpaceDE/>
        <w:autoSpaceDN/>
        <w:bidi w:val="0"/>
        <w:adjustRightInd/>
        <w:snapToGrid/>
        <w:spacing w:after="0" w:line="610" w:lineRule="exact"/>
        <w:ind w:left="0" w:leftChars="0" w:firstLine="643" w:firstLineChars="200"/>
        <w:jc w:val="both"/>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提升项目产出质量</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按照工作规定，每月每季进行一次专项稽核，并出具分析报告，发现问题及时纠正，完善相关稽核制度；设置大病医保资金专户，确保资金安全；及时履约付款义务。实施单位做好项目规划，确立起相应的保障措施以确保承办质量。</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610" w:lineRule="exact"/>
        <w:ind w:leftChars="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附件1：邵阳市本级城镇职工大病保险承办服务项目绩效评价基础数据表</w:t>
      </w:r>
    </w:p>
    <w:p>
      <w:pPr>
        <w:pStyle w:val="2"/>
        <w:keepNext w:val="0"/>
        <w:keepLines w:val="0"/>
        <w:pageBreakBefore w:val="0"/>
        <w:widowControl/>
        <w:kinsoku/>
        <w:wordWrap/>
        <w:overflowPunct/>
        <w:topLinePunct w:val="0"/>
        <w:autoSpaceDE/>
        <w:autoSpaceDN/>
        <w:bidi w:val="0"/>
        <w:adjustRightInd/>
        <w:snapToGrid/>
        <w:spacing w:after="0" w:line="61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附件2：邵阳市本级城镇职工大病保险承办服务项目绩效评价指标评分表</w:t>
      </w:r>
    </w:p>
    <w:p>
      <w:pPr>
        <w:pStyle w:val="2"/>
        <w:keepNext w:val="0"/>
        <w:keepLines w:val="0"/>
        <w:pageBreakBefore w:val="0"/>
        <w:widowControl/>
        <w:kinsoku/>
        <w:wordWrap/>
        <w:overflowPunct/>
        <w:topLinePunct w:val="0"/>
        <w:autoSpaceDE/>
        <w:autoSpaceDN/>
        <w:bidi w:val="0"/>
        <w:adjustRightInd/>
        <w:snapToGrid/>
        <w:spacing w:after="0" w:line="56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2"/>
        <w:keepNext w:val="0"/>
        <w:keepLines w:val="0"/>
        <w:pageBreakBefore w:val="0"/>
        <w:widowControl/>
        <w:kinsoku/>
        <w:wordWrap/>
        <w:overflowPunct/>
        <w:topLinePunct w:val="0"/>
        <w:autoSpaceDE/>
        <w:autoSpaceDN/>
        <w:bidi w:val="0"/>
        <w:adjustRightInd/>
        <w:snapToGrid/>
        <w:spacing w:after="0" w:line="560" w:lineRule="exact"/>
        <w:ind w:leftChars="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0" w:line="620" w:lineRule="exact"/>
        <w:ind w:leftChars="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湖南南方会计师事务所有限责任公司   中国注册会计师：</w:t>
      </w:r>
    </w:p>
    <w:p>
      <w:pPr>
        <w:keepNext w:val="0"/>
        <w:keepLines w:val="0"/>
        <w:pageBreakBefore w:val="0"/>
        <w:widowControl/>
        <w:kinsoku/>
        <w:wordWrap/>
        <w:overflowPunct/>
        <w:topLinePunct w:val="0"/>
        <w:autoSpaceDE/>
        <w:autoSpaceDN/>
        <w:bidi w:val="0"/>
        <w:adjustRightInd/>
        <w:snapToGrid/>
        <w:spacing w:after="0" w:line="620" w:lineRule="exact"/>
        <w:ind w:leftChars="0" w:firstLine="640" w:firstLineChars="200"/>
        <w:jc w:val="both"/>
        <w:textAlignment w:val="auto"/>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after="0" w:line="620" w:lineRule="exact"/>
        <w:ind w:leftChars="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 xml:space="preserve">          中国·邵阳          </w:t>
      </w:r>
      <w:r>
        <w:rPr>
          <w:rFonts w:hint="eastAsia" w:ascii="仿宋_GB2312" w:eastAsia="宋体"/>
          <w:sz w:val="32"/>
          <w:szCs w:val="32"/>
          <w:lang w:val="en-US" w:eastAsia="zh-CN"/>
        </w:rPr>
        <w:t xml:space="preserve"> </w:t>
      </w:r>
      <w:r>
        <w:rPr>
          <w:rFonts w:hint="eastAsia" w:ascii="仿宋_GB2312" w:eastAsia="仿宋_GB2312"/>
          <w:sz w:val="32"/>
          <w:szCs w:val="32"/>
        </w:rPr>
        <w:t xml:space="preserve">    中国注册会计师：</w:t>
      </w:r>
    </w:p>
    <w:p>
      <w:pPr>
        <w:pStyle w:val="2"/>
        <w:rPr>
          <w:rFonts w:hint="eastAsia"/>
        </w:rPr>
      </w:pPr>
    </w:p>
    <w:p>
      <w:pPr>
        <w:keepNext w:val="0"/>
        <w:keepLines w:val="0"/>
        <w:pageBreakBefore w:val="0"/>
        <w:widowControl/>
        <w:kinsoku/>
        <w:wordWrap/>
        <w:overflowPunct/>
        <w:topLinePunct w:val="0"/>
        <w:autoSpaceDE/>
        <w:autoSpaceDN/>
        <w:bidi w:val="0"/>
        <w:adjustRightInd/>
        <w:snapToGrid/>
        <w:spacing w:line="560" w:lineRule="exact"/>
        <w:ind w:firstLine="6080" w:firstLineChars="1900"/>
        <w:jc w:val="both"/>
        <w:textAlignment w:val="auto"/>
        <w:rPr>
          <w:rFonts w:hint="eastAsia" w:ascii="仿宋" w:hAnsi="仿宋" w:eastAsia="宋体" w:cs="Times New Roman"/>
          <w:kern w:val="2"/>
          <w:sz w:val="32"/>
          <w:szCs w:val="32"/>
          <w:lang w:val="en-US" w:eastAsia="zh-CN" w:bidi="ar-SA"/>
        </w:rPr>
      </w:pPr>
      <w:r>
        <w:rPr>
          <w:rFonts w:hint="eastAsia" w:ascii="仿宋_GB2312" w:eastAsia="宋体"/>
          <w:sz w:val="32"/>
          <w:szCs w:val="32"/>
          <w:lang w:val="en-US" w:eastAsia="zh-CN"/>
        </w:rPr>
        <w:t xml:space="preserve"> </w:t>
      </w:r>
      <w:r>
        <w:rPr>
          <w:rFonts w:hint="default" w:ascii="仿宋_GB2312" w:eastAsia="仿宋_GB2312"/>
          <w:sz w:val="32"/>
          <w:szCs w:val="32"/>
          <w:lang w:val="en-US" w:eastAsia="zh-CN"/>
        </w:rPr>
        <w:t>2022</w:t>
      </w:r>
      <w:r>
        <w:rPr>
          <w:rFonts w:hint="eastAsia" w:ascii="仿宋_GB2312" w:eastAsia="仿宋_GB2312"/>
          <w:sz w:val="32"/>
          <w:szCs w:val="32"/>
          <w:lang w:val="en-US" w:eastAsia="zh-CN"/>
        </w:rPr>
        <w:t>年</w:t>
      </w:r>
      <w:r>
        <w:rPr>
          <w:rFonts w:hint="default" w:ascii="仿宋_GB2312" w:eastAsia="仿宋_GB2312"/>
          <w:sz w:val="32"/>
          <w:szCs w:val="32"/>
          <w:lang w:val="en-US" w:eastAsia="zh-CN"/>
        </w:rPr>
        <w:t>8</w:t>
      </w:r>
      <w:r>
        <w:rPr>
          <w:rFonts w:hint="eastAsia" w:ascii="仿宋_GB2312" w:eastAsia="仿宋_GB2312"/>
          <w:sz w:val="32"/>
          <w:szCs w:val="32"/>
          <w:lang w:val="en-US" w:eastAsia="zh-CN"/>
        </w:rPr>
        <w:t>月</w:t>
      </w:r>
      <w:r>
        <w:rPr>
          <w:rFonts w:hint="default" w:ascii="仿宋_GB2312" w:eastAsia="仿宋_GB2312"/>
          <w:sz w:val="32"/>
          <w:szCs w:val="32"/>
          <w:lang w:val="en-US" w:eastAsia="zh-CN"/>
        </w:rPr>
        <w:t>17</w:t>
      </w:r>
      <w:r>
        <w:rPr>
          <w:rFonts w:hint="eastAsia" w:ascii="仿宋_GB2312" w:eastAsia="仿宋_GB2312"/>
          <w:sz w:val="32"/>
          <w:szCs w:val="32"/>
          <w:lang w:val="en-US" w:eastAsia="zh-CN"/>
        </w:rPr>
        <w:t>日</w:t>
      </w:r>
    </w:p>
    <w:p>
      <w:pPr>
        <w:pStyle w:val="2"/>
        <w:rPr>
          <w:rFonts w:hint="eastAsia" w:ascii="仿宋" w:hAnsi="仿宋" w:eastAsia="宋体" w:cs="Times New Roman"/>
          <w:kern w:val="2"/>
          <w:sz w:val="32"/>
          <w:szCs w:val="32"/>
          <w:lang w:val="en-US" w:eastAsia="zh-CN" w:bidi="ar-SA"/>
        </w:rPr>
      </w:pPr>
    </w:p>
    <w:p>
      <w:pPr>
        <w:pStyle w:val="2"/>
        <w:rPr>
          <w:rFonts w:hint="eastAsia" w:ascii="仿宋" w:hAnsi="仿宋" w:eastAsia="宋体" w:cs="Times New Roman"/>
          <w:kern w:val="2"/>
          <w:sz w:val="32"/>
          <w:szCs w:val="32"/>
          <w:lang w:val="en-US" w:eastAsia="zh-CN" w:bidi="ar-SA"/>
        </w:rPr>
        <w:sectPr>
          <w:footerReference r:id="rId5" w:type="default"/>
          <w:pgSz w:w="12240" w:h="15840"/>
          <w:pgMar w:top="1701" w:right="1474" w:bottom="1701" w:left="1587" w:header="720" w:footer="720" w:gutter="0"/>
          <w:pgNumType w:fmt="decimal"/>
          <w:cols w:space="720" w:num="1"/>
          <w:docGrid w:linePitch="360" w:charSpace="0"/>
        </w:sectPr>
      </w:pPr>
    </w:p>
    <w:p>
      <w:pPr>
        <w:pStyle w:val="138"/>
        <w:ind w:left="0" w:leftChars="0" w:firstLine="0" w:firstLineChars="0"/>
        <w:rPr>
          <w:rFonts w:hint="eastAsia" w:ascii="Times New Roman" w:hAnsi="Times New Roman" w:eastAsia="黑体" w:cs="Times New Roman"/>
          <w:color w:val="000000"/>
          <w:kern w:val="0"/>
          <w:sz w:val="32"/>
          <w:szCs w:val="32"/>
          <w:lang w:val="en-US" w:eastAsia="zh-CN" w:bidi="ar"/>
        </w:rPr>
      </w:pPr>
      <w:r>
        <w:rPr>
          <w:rFonts w:hint="eastAsia" w:ascii="Times New Roman" w:hAnsi="Times New Roman" w:eastAsia="黑体" w:cs="Times New Roman"/>
          <w:color w:val="000000"/>
          <w:kern w:val="0"/>
          <w:sz w:val="32"/>
          <w:szCs w:val="32"/>
          <w:lang w:val="en-US" w:eastAsia="zh-CN" w:bidi="ar"/>
        </w:rPr>
        <w:t>附件1：</w:t>
      </w:r>
    </w:p>
    <w:p>
      <w:pPr>
        <w:pStyle w:val="138"/>
        <w:ind w:left="0" w:leftChars="0" w:firstLine="0" w:firstLineChars="0"/>
        <w:jc w:val="center"/>
        <w:rPr>
          <w:rFonts w:hint="default" w:ascii="方正小标宋_GBK" w:hAnsi="方正小标宋_GBK" w:eastAsia="宋体"/>
          <w:bCs/>
          <w:sz w:val="36"/>
          <w:szCs w:val="36"/>
          <w:lang w:val="en-US" w:eastAsia="zh-CN"/>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邵阳市本级城镇职工大病保险承办服务项目绩效评价基础数据表</w:t>
      </w:r>
    </w:p>
    <w:tbl>
      <w:tblPr>
        <w:tblStyle w:val="3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85"/>
        <w:gridCol w:w="2551"/>
        <w:gridCol w:w="4535"/>
        <w:gridCol w:w="2627"/>
        <w:gridCol w:w="2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一、项目承担单位基本情况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单位名称</w:t>
            </w:r>
          </w:p>
        </w:tc>
        <w:tc>
          <w:tcPr>
            <w:tcW w:w="4509"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邵阳市医疗保障事务中心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经营范围</w:t>
            </w:r>
          </w:p>
        </w:tc>
        <w:tc>
          <w:tcPr>
            <w:tcW w:w="4509" w:type="pct"/>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医疗和生育保险基金管理，医疗和生育保险经办和稽查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4509"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注册资本</w:t>
            </w: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叁拾伍</w:t>
            </w:r>
            <w:r>
              <w:rPr>
                <w:rFonts w:hint="default" w:ascii="仿宋_GB2312" w:hAnsi="宋体" w:eastAsia="仿宋_GB2312" w:cs="仿宋_GB2312"/>
                <w:i w:val="0"/>
                <w:iCs w:val="0"/>
                <w:color w:val="000000"/>
                <w:kern w:val="0"/>
                <w:sz w:val="21"/>
                <w:szCs w:val="21"/>
                <w:u w:val="none"/>
                <w:lang w:val="en-US" w:eastAsia="zh-CN" w:bidi="ar"/>
              </w:rPr>
              <w:t>万元整</w:t>
            </w: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单位地址</w:t>
            </w:r>
          </w:p>
        </w:tc>
        <w:tc>
          <w:tcPr>
            <w:tcW w:w="18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r>
              <w:rPr>
                <w:rFonts w:hint="default" w:ascii="仿宋_GB2312" w:hAnsi="宋体" w:eastAsia="仿宋_GB2312" w:cs="仿宋_GB2312"/>
                <w:i w:val="0"/>
                <w:iCs w:val="0"/>
                <w:color w:val="000000"/>
                <w:kern w:val="0"/>
                <w:sz w:val="21"/>
                <w:szCs w:val="21"/>
                <w:u w:val="none"/>
                <w:lang w:val="en-US" w:eastAsia="zh-CN" w:bidi="ar"/>
              </w:rPr>
              <w:t>邵阳市</w:t>
            </w:r>
            <w:r>
              <w:rPr>
                <w:rFonts w:hint="eastAsia" w:ascii="仿宋_GB2312" w:hAnsi="宋体" w:eastAsia="仿宋_GB2312" w:cs="仿宋_GB2312"/>
                <w:i w:val="0"/>
                <w:iCs w:val="0"/>
                <w:color w:val="000000"/>
                <w:kern w:val="0"/>
                <w:sz w:val="21"/>
                <w:szCs w:val="21"/>
                <w:u w:val="none"/>
                <w:lang w:val="en-US" w:eastAsia="zh-CN" w:bidi="ar"/>
              </w:rPr>
              <w:t>人大路16号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联系人</w:t>
            </w: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朱惠馥</w:t>
            </w: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联系方式</w:t>
            </w:r>
          </w:p>
        </w:tc>
        <w:tc>
          <w:tcPr>
            <w:tcW w:w="18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13762889332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二、项目基本情况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r>
              <w:rPr>
                <w:rStyle w:val="168"/>
                <w:lang w:val="en-US" w:eastAsia="zh-CN" w:bidi="ar"/>
              </w:rPr>
              <w:t>项目名称</w:t>
            </w:r>
          </w:p>
        </w:tc>
        <w:tc>
          <w:tcPr>
            <w:tcW w:w="4509"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邵阳市本级城镇职工大病保险承办服务项目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r>
              <w:rPr>
                <w:rStyle w:val="168"/>
                <w:lang w:val="en-US" w:eastAsia="zh-CN" w:bidi="ar"/>
              </w:rPr>
              <w:t>项目实施主要内容</w:t>
            </w:r>
          </w:p>
        </w:tc>
        <w:tc>
          <w:tcPr>
            <w:tcW w:w="270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计划</w:t>
            </w:r>
          </w:p>
        </w:tc>
        <w:tc>
          <w:tcPr>
            <w:tcW w:w="18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70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为邵阳市本级参加城镇职工大病医疗互助的参保人员，统一向保险人投保及理赔申请与本服务相关的手续，保险人负责投保人投保的邵阳市本级城镇职工大病保险，按服务协议履行赔付责任，保险期为三年。</w:t>
            </w:r>
          </w:p>
        </w:tc>
        <w:tc>
          <w:tcPr>
            <w:tcW w:w="180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2022年3月31日实际支付给太平洋人寿保险公司城镇职工大病保险项目保费2336.88万元，承办服务费133.536万元。2021年城镇职工大病保险项目应理赔3235件，已全部理赔，赔付率100%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70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70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70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70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70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c>
          <w:tcPr>
            <w:tcW w:w="18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w:t>
            </w:r>
            <w:r>
              <w:rPr>
                <w:rStyle w:val="168"/>
                <w:lang w:val="en-US" w:eastAsia="zh-CN" w:bidi="ar"/>
              </w:rPr>
              <w:t>项目完成时间</w:t>
            </w:r>
          </w:p>
        </w:tc>
        <w:tc>
          <w:tcPr>
            <w:tcW w:w="270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计划完成时间</w:t>
            </w:r>
          </w:p>
        </w:tc>
        <w:tc>
          <w:tcPr>
            <w:tcW w:w="18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2024年3月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270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实际完成时间</w:t>
            </w:r>
          </w:p>
        </w:tc>
        <w:tc>
          <w:tcPr>
            <w:tcW w:w="18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2024年3月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4.</w:t>
            </w:r>
            <w:r>
              <w:rPr>
                <w:rStyle w:val="168"/>
                <w:lang w:val="en-US" w:eastAsia="zh-CN" w:bidi="ar"/>
              </w:rPr>
              <w:t>项目进展情况</w:t>
            </w:r>
          </w:p>
        </w:tc>
        <w:tc>
          <w:tcPr>
            <w:tcW w:w="97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B</w:t>
            </w:r>
          </w:p>
        </w:tc>
        <w:tc>
          <w:tcPr>
            <w:tcW w:w="3536" w:type="pct"/>
            <w:gridSpan w:val="3"/>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A</w:t>
            </w:r>
            <w:r>
              <w:rPr>
                <w:rStyle w:val="168"/>
                <w:lang w:val="en-US" w:eastAsia="zh-CN" w:bidi="ar"/>
              </w:rPr>
              <w:t xml:space="preserve">、已完成 </w:t>
            </w:r>
            <w:r>
              <w:rPr>
                <w:rFonts w:hint="default" w:ascii="仿宋_GB2312" w:hAnsi="宋体" w:eastAsia="仿宋_GB2312" w:cs="仿宋_GB2312"/>
                <w:i w:val="0"/>
                <w:iCs w:val="0"/>
                <w:color w:val="000000"/>
                <w:kern w:val="0"/>
                <w:sz w:val="21"/>
                <w:szCs w:val="21"/>
                <w:u w:val="none"/>
                <w:lang w:val="en-US" w:eastAsia="zh-CN" w:bidi="ar"/>
              </w:rPr>
              <w:t>B</w:t>
            </w:r>
            <w:r>
              <w:rPr>
                <w:rStyle w:val="168"/>
                <w:lang w:val="en-US" w:eastAsia="zh-CN" w:bidi="ar"/>
              </w:rPr>
              <w:t xml:space="preserve">、按计划进行  </w:t>
            </w:r>
            <w:r>
              <w:rPr>
                <w:rFonts w:hint="default" w:ascii="仿宋_GB2312" w:hAnsi="宋体" w:eastAsia="仿宋_GB2312" w:cs="仿宋_GB2312"/>
                <w:i w:val="0"/>
                <w:iCs w:val="0"/>
                <w:color w:val="000000"/>
                <w:kern w:val="0"/>
                <w:sz w:val="21"/>
                <w:szCs w:val="21"/>
                <w:u w:val="none"/>
                <w:lang w:val="en-US" w:eastAsia="zh-CN" w:bidi="ar"/>
              </w:rPr>
              <w:t>C</w:t>
            </w:r>
            <w:r>
              <w:rPr>
                <w:rStyle w:val="168"/>
                <w:lang w:val="en-US" w:eastAsia="zh-CN" w:bidi="ar"/>
              </w:rPr>
              <w:t xml:space="preserve">、未开工  </w:t>
            </w:r>
            <w:r>
              <w:rPr>
                <w:rFonts w:hint="default" w:ascii="仿宋_GB2312" w:hAnsi="宋体" w:eastAsia="仿宋_GB2312" w:cs="仿宋_GB2312"/>
                <w:i w:val="0"/>
                <w:iCs w:val="0"/>
                <w:color w:val="000000"/>
                <w:kern w:val="0"/>
                <w:sz w:val="21"/>
                <w:szCs w:val="21"/>
                <w:u w:val="none"/>
                <w:lang w:val="en-US" w:eastAsia="zh-CN" w:bidi="ar"/>
              </w:rPr>
              <w:t>D</w:t>
            </w:r>
            <w:r>
              <w:rPr>
                <w:rStyle w:val="168"/>
                <w:lang w:val="en-US" w:eastAsia="zh-CN" w:bidi="ar"/>
              </w:rPr>
              <w:t>、拖延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3536" w:type="pct"/>
            <w:gridSpan w:val="3"/>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E</w:t>
            </w:r>
            <w:r>
              <w:rPr>
                <w:rStyle w:val="168"/>
                <w:lang w:val="en-US" w:eastAsia="zh-CN" w:bidi="ar"/>
              </w:rPr>
              <w:t xml:space="preserve">、停顿   </w:t>
            </w:r>
            <w:r>
              <w:rPr>
                <w:rFonts w:hint="default" w:ascii="仿宋_GB2312" w:hAnsi="宋体" w:eastAsia="仿宋_GB2312" w:cs="仿宋_GB2312"/>
                <w:i w:val="0"/>
                <w:iCs w:val="0"/>
                <w:color w:val="000000"/>
                <w:kern w:val="0"/>
                <w:sz w:val="21"/>
                <w:szCs w:val="21"/>
                <w:u w:val="none"/>
                <w:lang w:val="en-US" w:eastAsia="zh-CN" w:bidi="ar"/>
              </w:rPr>
              <w:t>F</w:t>
            </w:r>
            <w:r>
              <w:rPr>
                <w:rStyle w:val="168"/>
                <w:lang w:val="en-US" w:eastAsia="zh-CN" w:bidi="ar"/>
              </w:rPr>
              <w:t>、申请撤销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项目未按计划完成的原因：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3193"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6.</w:t>
            </w:r>
            <w:r>
              <w:rPr>
                <w:rStyle w:val="168"/>
                <w:lang w:val="en-US" w:eastAsia="zh-CN" w:bidi="ar"/>
              </w:rPr>
              <w:t>项目完成后是否按要求申请项目验收</w:t>
            </w:r>
          </w:p>
        </w:tc>
        <w:tc>
          <w:tcPr>
            <w:tcW w:w="18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r>
              <w:rPr>
                <w:rStyle w:val="168"/>
                <w:lang w:val="en-US" w:eastAsia="zh-CN" w:bidi="ar"/>
              </w:rPr>
              <w:t>、</w:t>
            </w:r>
            <w:r>
              <w:rPr>
                <w:rFonts w:ascii="仿宋" w:hAnsi="仿宋" w:eastAsia="仿宋" w:cs="仿宋"/>
                <w:i w:val="0"/>
                <w:iCs w:val="0"/>
                <w:color w:val="000000"/>
                <w:kern w:val="0"/>
                <w:sz w:val="21"/>
                <w:szCs w:val="21"/>
                <w:u w:val="none"/>
                <w:lang w:val="en-US" w:eastAsia="zh-CN" w:bidi="ar"/>
              </w:rPr>
              <w:t>√</w:t>
            </w:r>
            <w:r>
              <w:rPr>
                <w:rFonts w:hint="default" w:ascii="仿宋_GB2312" w:hAnsi="宋体" w:eastAsia="仿宋_GB2312" w:cs="仿宋_GB2312"/>
                <w:i w:val="0"/>
                <w:iCs w:val="0"/>
                <w:color w:val="000000"/>
                <w:kern w:val="0"/>
                <w:sz w:val="21"/>
                <w:szCs w:val="21"/>
                <w:u w:val="none"/>
                <w:lang w:val="en-US" w:eastAsia="zh-CN" w:bidi="ar"/>
              </w:rPr>
              <w:t xml:space="preserve"> </w:t>
            </w:r>
            <w:r>
              <w:rPr>
                <w:rStyle w:val="168"/>
                <w:lang w:val="en-US" w:eastAsia="zh-CN" w:bidi="ar"/>
              </w:rPr>
              <w:t xml:space="preserve">是        </w:t>
            </w:r>
            <w:r>
              <w:rPr>
                <w:rFonts w:hint="default" w:ascii="仿宋_GB2312" w:hAnsi="宋体" w:eastAsia="仿宋_GB2312" w:cs="仿宋_GB2312"/>
                <w:i w:val="0"/>
                <w:iCs w:val="0"/>
                <w:color w:val="000000"/>
                <w:kern w:val="0"/>
                <w:sz w:val="21"/>
                <w:szCs w:val="21"/>
                <w:u w:val="none"/>
                <w:lang w:val="en-US" w:eastAsia="zh-CN" w:bidi="ar"/>
              </w:rPr>
              <w:t>2</w:t>
            </w:r>
            <w:r>
              <w:rPr>
                <w:rStyle w:val="168"/>
                <w:lang w:val="en-US" w:eastAsia="zh-CN" w:bidi="ar"/>
              </w:rPr>
              <w:t>、</w:t>
            </w:r>
            <w:r>
              <w:rPr>
                <w:rFonts w:hint="default" w:ascii="仿宋_GB2312" w:hAnsi="宋体" w:eastAsia="仿宋_GB2312" w:cs="仿宋_GB2312"/>
                <w:i w:val="0"/>
                <w:iCs w:val="0"/>
                <w:color w:val="000000"/>
                <w:kern w:val="0"/>
                <w:sz w:val="21"/>
                <w:szCs w:val="21"/>
                <w:u w:val="none"/>
                <w:lang w:val="en-US" w:eastAsia="zh-CN" w:bidi="ar"/>
              </w:rPr>
              <w:t xml:space="preserve">□ </w:t>
            </w:r>
            <w:r>
              <w:rPr>
                <w:rStyle w:val="168"/>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三、项目投资完成情况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r>
              <w:rPr>
                <w:rStyle w:val="168"/>
                <w:lang w:val="en-US" w:eastAsia="zh-CN" w:bidi="ar"/>
              </w:rPr>
              <w:t>项目投资总额</w:t>
            </w:r>
            <w:r>
              <w:rPr>
                <w:rFonts w:hint="eastAsia" w:ascii="宋体" w:hAnsi="宋体" w:eastAsia="宋体" w:cs="宋体"/>
                <w:i w:val="0"/>
                <w:iCs w:val="0"/>
                <w:color w:val="000000"/>
                <w:kern w:val="0"/>
                <w:sz w:val="20"/>
                <w:szCs w:val="20"/>
                <w:u w:val="none"/>
                <w:lang w:val="en-US" w:eastAsia="zh-CN" w:bidi="ar"/>
              </w:rPr>
              <w:t>（元）</w:t>
            </w: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计划</w:t>
            </w:r>
          </w:p>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1"/>
                <w:szCs w:val="21"/>
                <w:u w:val="none"/>
                <w:lang w:val="en-US" w:eastAsia="zh-CN" w:bidi="ar"/>
              </w:rPr>
              <w:t>（2021年4月1日至2022年3月31日）</w:t>
            </w:r>
          </w:p>
        </w:tc>
        <w:tc>
          <w:tcPr>
            <w:tcW w:w="353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27820000.00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实际</w:t>
            </w:r>
          </w:p>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1"/>
                <w:szCs w:val="21"/>
                <w:u w:val="none"/>
                <w:lang w:val="en-US" w:eastAsia="zh-CN" w:bidi="ar"/>
              </w:rPr>
              <w:t>（2021年4月1日至2022年3月31日）</w:t>
            </w:r>
          </w:p>
        </w:tc>
        <w:tc>
          <w:tcPr>
            <w:tcW w:w="353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24704160.00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投资完成率</w:t>
            </w:r>
          </w:p>
        </w:tc>
        <w:tc>
          <w:tcPr>
            <w:tcW w:w="353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89</w:t>
            </w:r>
            <w:r>
              <w:rPr>
                <w:rFonts w:hint="default" w:ascii="仿宋_GB2312" w:hAnsi="宋体" w:eastAsia="仿宋_GB2312" w:cs="仿宋_GB2312"/>
                <w:i w:val="0"/>
                <w:iCs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r>
              <w:rPr>
                <w:rStyle w:val="168"/>
                <w:lang w:val="en-US" w:eastAsia="zh-CN" w:bidi="ar"/>
              </w:rPr>
              <w:t>项目资金来源</w:t>
            </w:r>
            <w:r>
              <w:rPr>
                <w:rFonts w:hint="eastAsia" w:ascii="宋体" w:hAnsi="宋体" w:eastAsia="宋体" w:cs="宋体"/>
                <w:i w:val="0"/>
                <w:iCs w:val="0"/>
                <w:color w:val="000000"/>
                <w:kern w:val="0"/>
                <w:sz w:val="20"/>
                <w:szCs w:val="20"/>
                <w:u w:val="none"/>
                <w:lang w:val="en-US" w:eastAsia="zh-CN" w:bidi="ar"/>
              </w:rPr>
              <w:t>（元）</w:t>
            </w: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计划情况</w:t>
            </w: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2" w:hRule="atLeast"/>
        </w:trPr>
        <w:tc>
          <w:tcPr>
            <w:tcW w:w="490" w:type="pct"/>
            <w:vMerge w:val="continue"/>
            <w:tcBorders>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邵阳市本级城镇职工大病保险承办服务项目</w:t>
            </w: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通过自筹，2021年4月1日至2022年3月31日，计划保费2336.88万元，计划承办费166.92万元，计划风险金278.2万元。</w:t>
            </w: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2021年4月1日至2022年3月31日，实际支付保费2336.88万元，实际支付承办费133.536万元.</w:t>
            </w: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4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68"/>
                <w:lang w:val="en-US" w:eastAsia="zh-CN" w:bidi="ar"/>
              </w:rPr>
              <w:t>合</w:t>
            </w:r>
            <w:r>
              <w:rPr>
                <w:rFonts w:hint="default" w:ascii="仿宋_GB2312" w:hAnsi="宋体" w:eastAsia="仿宋_GB2312" w:cs="仿宋_GB2312"/>
                <w:i w:val="0"/>
                <w:iCs w:val="0"/>
                <w:color w:val="000000"/>
                <w:kern w:val="0"/>
                <w:sz w:val="21"/>
                <w:szCs w:val="21"/>
                <w:u w:val="none"/>
                <w:lang w:val="en-US" w:eastAsia="zh-CN" w:bidi="ar"/>
              </w:rPr>
              <w:t xml:space="preserve">  </w:t>
            </w:r>
            <w:r>
              <w:rPr>
                <w:rStyle w:val="168"/>
                <w:lang w:val="en-US" w:eastAsia="zh-CN" w:bidi="ar"/>
              </w:rPr>
              <w:t>计</w:t>
            </w: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w:t>
            </w:r>
            <w:r>
              <w:rPr>
                <w:rStyle w:val="168"/>
                <w:lang w:val="en-US" w:eastAsia="zh-CN" w:bidi="ar"/>
              </w:rPr>
              <w:t>项目实际支出情况</w:t>
            </w: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预计开支额（元）</w:t>
            </w: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实际开支额（元）</w:t>
            </w: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其中：专项资金支出额（元）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2" w:hRule="atLeast"/>
        </w:trPr>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p>
        </w:tc>
        <w:tc>
          <w:tcPr>
            <w:tcW w:w="172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2" w:hRule="atLeast"/>
        </w:trPr>
        <w:tc>
          <w:tcPr>
            <w:tcW w:w="490"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p>
        </w:tc>
        <w:tc>
          <w:tcPr>
            <w:tcW w:w="17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463"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  计</w:t>
            </w: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4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4.</w:t>
            </w:r>
            <w:r>
              <w:rPr>
                <w:rStyle w:val="168"/>
                <w:lang w:val="en-US" w:eastAsia="zh-CN" w:bidi="ar"/>
              </w:rPr>
              <w:t>专项资金是否专款专用</w:t>
            </w: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8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r>
              <w:rPr>
                <w:rStyle w:val="168"/>
                <w:lang w:val="en-US" w:eastAsia="zh-CN" w:bidi="ar"/>
              </w:rPr>
              <w:t>、</w:t>
            </w:r>
            <w:r>
              <w:rPr>
                <w:rFonts w:ascii="Nimbus Roman No9 L" w:hAnsi="Nimbus Roman No9 L" w:eastAsia="Nimbus Roman No9 L" w:cs="Nimbus Roman No9 L"/>
                <w:i w:val="0"/>
                <w:iCs w:val="0"/>
                <w:color w:val="000000"/>
                <w:kern w:val="0"/>
                <w:sz w:val="21"/>
                <w:szCs w:val="21"/>
                <w:u w:val="none"/>
                <w:lang w:val="en-US" w:eastAsia="zh-CN" w:bidi="ar"/>
              </w:rPr>
              <w:t xml:space="preserve"> </w:t>
            </w:r>
            <w:r>
              <w:rPr>
                <w:rFonts w:hint="default" w:ascii="仿宋_GB2312" w:hAnsi="宋体" w:eastAsia="仿宋_GB2312" w:cs="仿宋_GB2312"/>
                <w:i w:val="0"/>
                <w:iCs w:val="0"/>
                <w:color w:val="000000"/>
                <w:kern w:val="0"/>
                <w:sz w:val="21"/>
                <w:szCs w:val="21"/>
                <w:u w:val="none"/>
                <w:lang w:val="en-US" w:eastAsia="zh-CN" w:bidi="ar"/>
              </w:rPr>
              <w:t xml:space="preserve"> </w:t>
            </w:r>
            <w:r>
              <w:rPr>
                <w:rFonts w:ascii="仿宋" w:hAnsi="仿宋" w:eastAsia="仿宋" w:cs="仿宋"/>
                <w:i w:val="0"/>
                <w:iCs w:val="0"/>
                <w:color w:val="000000"/>
                <w:kern w:val="0"/>
                <w:sz w:val="21"/>
                <w:szCs w:val="21"/>
                <w:u w:val="none"/>
                <w:lang w:val="en-US" w:eastAsia="zh-CN" w:bidi="ar"/>
              </w:rPr>
              <w:t>√</w:t>
            </w:r>
            <w:r>
              <w:rPr>
                <w:rFonts w:hint="default" w:ascii="仿宋_GB2312" w:hAnsi="宋体" w:eastAsia="仿宋_GB2312" w:cs="仿宋_GB2312"/>
                <w:i w:val="0"/>
                <w:iCs w:val="0"/>
                <w:color w:val="000000"/>
                <w:kern w:val="0"/>
                <w:sz w:val="21"/>
                <w:szCs w:val="21"/>
                <w:u w:val="none"/>
                <w:lang w:val="en-US" w:eastAsia="zh-CN" w:bidi="ar"/>
              </w:rPr>
              <w:t xml:space="preserve"> </w:t>
            </w:r>
            <w:r>
              <w:rPr>
                <w:rStyle w:val="168"/>
                <w:lang w:val="en-US" w:eastAsia="zh-CN" w:bidi="ar"/>
              </w:rPr>
              <w:t xml:space="preserve">是       </w:t>
            </w:r>
            <w:r>
              <w:rPr>
                <w:rFonts w:hint="default" w:ascii="仿宋_GB2312" w:hAnsi="宋体" w:eastAsia="仿宋_GB2312" w:cs="仿宋_GB2312"/>
                <w:i w:val="0"/>
                <w:iCs w:val="0"/>
                <w:color w:val="000000"/>
                <w:kern w:val="0"/>
                <w:sz w:val="21"/>
                <w:szCs w:val="21"/>
                <w:u w:val="none"/>
                <w:lang w:val="en-US" w:eastAsia="zh-CN" w:bidi="ar"/>
              </w:rPr>
              <w:t>2</w:t>
            </w:r>
            <w:r>
              <w:rPr>
                <w:rStyle w:val="168"/>
                <w:lang w:val="en-US" w:eastAsia="zh-CN" w:bidi="ar"/>
              </w:rPr>
              <w:t>、</w:t>
            </w:r>
            <w:r>
              <w:rPr>
                <w:rFonts w:ascii="Nimbus Roman No9 L" w:hAnsi="Nimbus Roman No9 L" w:eastAsia="Nimbus Roman No9 L" w:cs="Nimbus Roman No9 L"/>
                <w:i w:val="0"/>
                <w:iCs w:val="0"/>
                <w:color w:val="000000"/>
                <w:kern w:val="0"/>
                <w:sz w:val="21"/>
                <w:szCs w:val="21"/>
                <w:u w:val="none"/>
                <w:lang w:val="en-US" w:eastAsia="zh-CN" w:bidi="ar"/>
              </w:rPr>
              <w:t xml:space="preserve"> </w:t>
            </w:r>
            <w:r>
              <w:rPr>
                <w:rFonts w:hint="default" w:ascii="仿宋_GB2312" w:hAnsi="宋体" w:eastAsia="仿宋_GB2312" w:cs="仿宋_GB2312"/>
                <w:i w:val="0"/>
                <w:iCs w:val="0"/>
                <w:color w:val="000000"/>
                <w:kern w:val="0"/>
                <w:sz w:val="21"/>
                <w:szCs w:val="21"/>
                <w:u w:val="none"/>
                <w:lang w:val="en-US" w:eastAsia="zh-CN" w:bidi="ar"/>
              </w:rPr>
              <w:t xml:space="preserve"> □ </w:t>
            </w:r>
            <w:r>
              <w:rPr>
                <w:rStyle w:val="168"/>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4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r>
              <w:rPr>
                <w:rStyle w:val="168"/>
                <w:lang w:val="en-US" w:eastAsia="zh-CN" w:bidi="ar"/>
              </w:rPr>
              <w:t>是否对专项资金单独列账</w:t>
            </w: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8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r>
              <w:rPr>
                <w:rStyle w:val="168"/>
                <w:lang w:val="en-US" w:eastAsia="zh-CN" w:bidi="ar"/>
              </w:rPr>
              <w:t>、</w:t>
            </w:r>
            <w:r>
              <w:rPr>
                <w:rFonts w:ascii="Nimbus Roman No9 L" w:hAnsi="Nimbus Roman No9 L" w:eastAsia="Nimbus Roman No9 L" w:cs="Nimbus Roman No9 L"/>
                <w:i w:val="0"/>
                <w:iCs w:val="0"/>
                <w:color w:val="000000"/>
                <w:kern w:val="0"/>
                <w:sz w:val="21"/>
                <w:szCs w:val="21"/>
                <w:u w:val="none"/>
                <w:lang w:val="en-US" w:eastAsia="zh-CN" w:bidi="ar"/>
              </w:rPr>
              <w:t xml:space="preserve"> </w:t>
            </w:r>
            <w:r>
              <w:rPr>
                <w:rFonts w:hint="default" w:ascii="仿宋_GB2312" w:hAnsi="宋体" w:eastAsia="仿宋_GB2312" w:cs="仿宋_GB2312"/>
                <w:i w:val="0"/>
                <w:iCs w:val="0"/>
                <w:color w:val="000000"/>
                <w:kern w:val="0"/>
                <w:sz w:val="21"/>
                <w:szCs w:val="21"/>
                <w:u w:val="none"/>
                <w:lang w:val="en-US" w:eastAsia="zh-CN" w:bidi="ar"/>
              </w:rPr>
              <w:t xml:space="preserve"> </w:t>
            </w:r>
            <w:r>
              <w:rPr>
                <w:rFonts w:ascii="仿宋" w:hAnsi="仿宋" w:eastAsia="仿宋" w:cs="仿宋"/>
                <w:i w:val="0"/>
                <w:iCs w:val="0"/>
                <w:color w:val="000000"/>
                <w:kern w:val="0"/>
                <w:sz w:val="21"/>
                <w:szCs w:val="21"/>
                <w:u w:val="none"/>
                <w:lang w:val="en-US" w:eastAsia="zh-CN" w:bidi="ar"/>
              </w:rPr>
              <w:t>√</w:t>
            </w:r>
            <w:r>
              <w:rPr>
                <w:rFonts w:hint="default" w:ascii="仿宋_GB2312" w:hAnsi="宋体" w:eastAsia="仿宋_GB2312" w:cs="仿宋_GB2312"/>
                <w:i w:val="0"/>
                <w:iCs w:val="0"/>
                <w:color w:val="000000"/>
                <w:kern w:val="0"/>
                <w:sz w:val="21"/>
                <w:szCs w:val="21"/>
                <w:u w:val="none"/>
                <w:lang w:val="en-US" w:eastAsia="zh-CN" w:bidi="ar"/>
              </w:rPr>
              <w:t xml:space="preserve"> </w:t>
            </w:r>
            <w:r>
              <w:rPr>
                <w:rStyle w:val="168"/>
                <w:lang w:val="en-US" w:eastAsia="zh-CN" w:bidi="ar"/>
              </w:rPr>
              <w:t xml:space="preserve">是       </w:t>
            </w:r>
            <w:r>
              <w:rPr>
                <w:rFonts w:hint="default" w:ascii="仿宋_GB2312" w:hAnsi="宋体" w:eastAsia="仿宋_GB2312" w:cs="仿宋_GB2312"/>
                <w:i w:val="0"/>
                <w:iCs w:val="0"/>
                <w:color w:val="000000"/>
                <w:kern w:val="0"/>
                <w:sz w:val="21"/>
                <w:szCs w:val="21"/>
                <w:u w:val="none"/>
                <w:lang w:val="en-US" w:eastAsia="zh-CN" w:bidi="ar"/>
              </w:rPr>
              <w:t>2</w:t>
            </w:r>
            <w:r>
              <w:rPr>
                <w:rStyle w:val="168"/>
                <w:lang w:val="en-US" w:eastAsia="zh-CN" w:bidi="ar"/>
              </w:rPr>
              <w:t>、</w:t>
            </w:r>
            <w:r>
              <w:rPr>
                <w:rFonts w:ascii="Nimbus Roman No9 L" w:hAnsi="Nimbus Roman No9 L" w:eastAsia="Nimbus Roman No9 L" w:cs="Nimbus Roman No9 L"/>
                <w:i w:val="0"/>
                <w:iCs w:val="0"/>
                <w:color w:val="000000"/>
                <w:kern w:val="0"/>
                <w:sz w:val="21"/>
                <w:szCs w:val="21"/>
                <w:u w:val="none"/>
                <w:lang w:val="en-US" w:eastAsia="zh-CN" w:bidi="ar"/>
              </w:rPr>
              <w:t xml:space="preserve"> </w:t>
            </w:r>
            <w:r>
              <w:rPr>
                <w:rFonts w:hint="default" w:ascii="仿宋_GB2312" w:hAnsi="宋体" w:eastAsia="仿宋_GB2312" w:cs="仿宋_GB2312"/>
                <w:i w:val="0"/>
                <w:iCs w:val="0"/>
                <w:color w:val="000000"/>
                <w:kern w:val="0"/>
                <w:sz w:val="21"/>
                <w:szCs w:val="21"/>
                <w:u w:val="none"/>
                <w:lang w:val="en-US" w:eastAsia="zh-CN" w:bidi="ar"/>
              </w:rPr>
              <w:t xml:space="preserve"> □ </w:t>
            </w:r>
            <w:r>
              <w:rPr>
                <w:rStyle w:val="168"/>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四、项目实施单位2021年主要经济指标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68"/>
                <w:lang w:val="en-US" w:eastAsia="zh-CN" w:bidi="ar"/>
              </w:rPr>
              <w:t>项</w:t>
            </w:r>
            <w:r>
              <w:rPr>
                <w:rFonts w:hint="default" w:ascii="仿宋_GB2312" w:hAnsi="宋体" w:eastAsia="仿宋_GB2312" w:cs="仿宋_GB2312"/>
                <w:i w:val="0"/>
                <w:iCs w:val="0"/>
                <w:color w:val="000000"/>
                <w:kern w:val="0"/>
                <w:sz w:val="21"/>
                <w:szCs w:val="21"/>
                <w:u w:val="none"/>
                <w:lang w:val="en-US" w:eastAsia="zh-CN" w:bidi="ar"/>
              </w:rPr>
              <w:t xml:space="preserve">  </w:t>
            </w:r>
            <w:r>
              <w:rPr>
                <w:rStyle w:val="168"/>
                <w:lang w:val="en-US" w:eastAsia="zh-CN" w:bidi="ar"/>
              </w:rPr>
              <w:t>目</w:t>
            </w: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2020</w:t>
            </w:r>
            <w:r>
              <w:rPr>
                <w:rFonts w:hint="eastAsia" w:ascii="宋体" w:hAnsi="宋体" w:eastAsia="宋体" w:cs="宋体"/>
                <w:i w:val="0"/>
                <w:iCs w:val="0"/>
                <w:color w:val="000000"/>
                <w:kern w:val="0"/>
                <w:sz w:val="20"/>
                <w:szCs w:val="20"/>
                <w:u w:val="none"/>
                <w:lang w:val="en-US" w:eastAsia="zh-CN" w:bidi="ar"/>
              </w:rPr>
              <w:t>年</w:t>
            </w: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2021</w:t>
            </w:r>
            <w:r>
              <w:rPr>
                <w:rFonts w:hint="eastAsia" w:ascii="宋体" w:hAnsi="宋体" w:eastAsia="宋体" w:cs="宋体"/>
                <w:i w:val="0"/>
                <w:iCs w:val="0"/>
                <w:color w:val="000000"/>
                <w:kern w:val="0"/>
                <w:sz w:val="20"/>
                <w:szCs w:val="20"/>
                <w:u w:val="none"/>
                <w:lang w:val="en-US" w:eastAsia="zh-CN" w:bidi="ar"/>
              </w:rPr>
              <w:t>年</w:t>
            </w: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2021</w:t>
            </w:r>
            <w:r>
              <w:rPr>
                <w:rFonts w:hint="eastAsia" w:ascii="宋体" w:hAnsi="宋体" w:eastAsia="宋体" w:cs="宋体"/>
                <w:i w:val="0"/>
                <w:iCs w:val="0"/>
                <w:color w:val="000000"/>
                <w:kern w:val="0"/>
                <w:sz w:val="20"/>
                <w:szCs w:val="20"/>
                <w:u w:val="none"/>
                <w:lang w:val="en-US" w:eastAsia="zh-CN" w:bidi="ar"/>
              </w:rPr>
              <w:t>年增长率</w:t>
            </w: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4" w:hRule="atLeast"/>
        </w:trPr>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邵阳市本级城镇职工大病保险承办服务项目</w:t>
            </w: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赔付案件：3235件，赔付金额：2470.416万元</w:t>
            </w: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rPr>
            </w:pP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97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7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100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c>
          <w:tcPr>
            <w:tcW w:w="80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五、获奖情况：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170"/>
                <w:lang w:val="en-US" w:eastAsia="zh-CN" w:bidi="ar"/>
              </w:rPr>
              <w:t>六、项目后期维护与管理情况</w:t>
            </w:r>
            <w:r>
              <w:rPr>
                <w:rFonts w:hint="default" w:ascii="仿宋_GB2312" w:hAnsi="宋体" w:eastAsia="仿宋_GB2312" w:cs="仿宋_GB2312"/>
                <w:b/>
                <w:bCs/>
                <w:i w:val="0"/>
                <w:iCs w:val="0"/>
                <w:color w:val="000000"/>
                <w:kern w:val="0"/>
                <w:sz w:val="21"/>
                <w:szCs w:val="21"/>
                <w:u w:val="none"/>
                <w:lang w:val="en-US" w:eastAsia="zh-CN" w:bidi="ar"/>
              </w:rPr>
              <w:t xml:space="preserve"> </w:t>
            </w:r>
            <w:r>
              <w:rPr>
                <w:rStyle w:val="170"/>
                <w:lang w:val="en-US" w:eastAsia="zh-CN" w:bidi="ar"/>
              </w:rPr>
              <w:t>（已完成项目填写）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2021年邵阳市本级城镇职工大病保险已在审计阶段，2022年按协议继续履行。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项目单位确认：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我单位已如实、完整填列本调查表，并对以上填列内容的真实性负责。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 xml:space="preserve">    </w:t>
            </w:r>
            <w:r>
              <w:rPr>
                <w:rStyle w:val="168"/>
                <w:lang w:val="en-US" w:eastAsia="zh-CN" w:bidi="ar"/>
              </w:rPr>
              <w:t>项目单位</w:t>
            </w:r>
            <w:r>
              <w:rPr>
                <w:rFonts w:hint="default" w:ascii="仿宋_GB2312" w:hAnsi="宋体" w:eastAsia="仿宋_GB2312" w:cs="仿宋_GB2312"/>
                <w:i w:val="0"/>
                <w:iCs w:val="0"/>
                <w:color w:val="000000"/>
                <w:kern w:val="0"/>
                <w:sz w:val="21"/>
                <w:szCs w:val="21"/>
                <w:u w:val="none"/>
                <w:lang w:val="en-US" w:eastAsia="zh-CN" w:bidi="ar"/>
              </w:rPr>
              <w:t>(</w:t>
            </w:r>
            <w:r>
              <w:rPr>
                <w:rStyle w:val="168"/>
                <w:lang w:val="en-US" w:eastAsia="zh-CN" w:bidi="ar"/>
              </w:rPr>
              <w:t>盖章</w:t>
            </w:r>
            <w:r>
              <w:rPr>
                <w:rFonts w:hint="default" w:ascii="仿宋_GB2312" w:hAnsi="宋体" w:eastAsia="仿宋_GB2312" w:cs="仿宋_GB2312"/>
                <w:i w:val="0"/>
                <w:iCs w:val="0"/>
                <w:color w:val="000000"/>
                <w:kern w:val="0"/>
                <w:sz w:val="21"/>
                <w:szCs w:val="21"/>
                <w:u w:val="none"/>
                <w:lang w:val="en-US" w:eastAsia="zh-CN" w:bidi="ar"/>
              </w:rPr>
              <w:t>)</w:t>
            </w:r>
            <w:r>
              <w:rPr>
                <w:rStyle w:val="168"/>
                <w:lang w:val="en-US" w:eastAsia="zh-CN" w:bidi="ar"/>
              </w:rPr>
              <w:t xml:space="preserve">：                                  </w:t>
            </w:r>
            <w:r>
              <w:rPr>
                <w:rFonts w:hint="default" w:ascii="仿宋_GB2312" w:hAnsi="宋体" w:eastAsia="仿宋_GB2312" w:cs="仿宋_GB2312"/>
                <w:i w:val="0"/>
                <w:iCs w:val="0"/>
                <w:color w:val="000000"/>
                <w:kern w:val="0"/>
                <w:sz w:val="21"/>
                <w:szCs w:val="21"/>
                <w:u w:val="none"/>
                <w:lang w:val="en-US" w:eastAsia="zh-CN" w:bidi="ar"/>
              </w:rPr>
              <w:t xml:space="preserve">   </w:t>
            </w:r>
            <w:r>
              <w:rPr>
                <w:rStyle w:val="168"/>
                <w:lang w:val="en-US" w:eastAsia="zh-CN" w:bidi="ar"/>
              </w:rPr>
              <w:t>填表日期：</w:t>
            </w:r>
          </w:p>
        </w:tc>
      </w:tr>
    </w:tbl>
    <w:p>
      <w:pPr>
        <w:pStyle w:val="2"/>
        <w:rPr>
          <w:rFonts w:hint="default" w:ascii="仿宋" w:hAnsi="仿宋" w:eastAsia="宋体" w:cs="Times New Roman"/>
          <w:kern w:val="2"/>
          <w:sz w:val="32"/>
          <w:szCs w:val="32"/>
          <w:lang w:val="en-US" w:eastAsia="zh-CN" w:bidi="ar-SA"/>
        </w:rPr>
      </w:pPr>
    </w:p>
    <w:p>
      <w:pPr>
        <w:widowControl/>
        <w:spacing w:beforeLines="50" w:after="0" w:afterLines="50" w:line="240" w:lineRule="auto"/>
        <w:jc w:val="both"/>
        <w:rPr>
          <w:rFonts w:hint="eastAsia" w:ascii="Times New Roman" w:hAnsi="Times New Roman" w:eastAsia="黑体" w:cs="Times New Roman"/>
          <w:color w:val="000000"/>
          <w:kern w:val="0"/>
          <w:sz w:val="32"/>
          <w:szCs w:val="32"/>
          <w:lang w:val="en-US" w:eastAsia="zh-CN" w:bidi="ar"/>
        </w:rPr>
      </w:pPr>
    </w:p>
    <w:p>
      <w:pPr>
        <w:pStyle w:val="2"/>
        <w:rPr>
          <w:rFonts w:hint="eastAsia" w:ascii="Times New Roman" w:hAnsi="Times New Roman" w:eastAsia="黑体" w:cs="Times New Roman"/>
          <w:color w:val="000000"/>
          <w:kern w:val="0"/>
          <w:sz w:val="32"/>
          <w:szCs w:val="32"/>
          <w:lang w:val="en-US" w:eastAsia="zh-CN" w:bidi="ar"/>
        </w:rPr>
      </w:pPr>
    </w:p>
    <w:p>
      <w:pPr>
        <w:rPr>
          <w:rFonts w:hint="eastAsia" w:ascii="Times New Roman" w:hAnsi="Times New Roman" w:eastAsia="黑体" w:cs="Times New Roman"/>
          <w:color w:val="000000"/>
          <w:kern w:val="0"/>
          <w:sz w:val="32"/>
          <w:szCs w:val="32"/>
          <w:lang w:val="en-US" w:eastAsia="zh-CN" w:bidi="ar"/>
        </w:rPr>
      </w:pPr>
    </w:p>
    <w:p>
      <w:pPr>
        <w:pStyle w:val="2"/>
        <w:rPr>
          <w:rFonts w:hint="eastAsia" w:ascii="Times New Roman" w:hAnsi="Times New Roman" w:eastAsia="黑体" w:cs="Times New Roman"/>
          <w:color w:val="000000"/>
          <w:kern w:val="0"/>
          <w:sz w:val="32"/>
          <w:szCs w:val="32"/>
          <w:lang w:val="en-US" w:eastAsia="zh-CN" w:bidi="ar"/>
        </w:rPr>
      </w:pPr>
    </w:p>
    <w:p>
      <w:pPr>
        <w:rPr>
          <w:rFonts w:hint="eastAsia"/>
          <w:lang w:val="en-US" w:eastAsia="zh-CN"/>
        </w:rPr>
      </w:pPr>
    </w:p>
    <w:p>
      <w:pPr>
        <w:rPr>
          <w:rFonts w:hint="eastAsia"/>
          <w:lang w:val="en-US" w:eastAsia="zh-CN"/>
        </w:rPr>
      </w:pPr>
    </w:p>
    <w:p>
      <w:pPr>
        <w:widowControl/>
        <w:spacing w:beforeLines="50" w:after="0" w:afterLines="50" w:line="240" w:lineRule="auto"/>
        <w:jc w:val="both"/>
        <w:rPr>
          <w:rFonts w:hint="default" w:ascii="Times New Roman" w:hAnsi="Times New Roman" w:eastAsia="黑体" w:cs="Times New Roman"/>
          <w:color w:val="000000"/>
          <w:kern w:val="0"/>
          <w:sz w:val="32"/>
          <w:szCs w:val="32"/>
          <w:lang w:val="en-US" w:eastAsia="zh-CN" w:bidi="ar"/>
        </w:rPr>
      </w:pPr>
      <w:r>
        <w:rPr>
          <w:rFonts w:hint="eastAsia" w:ascii="Times New Roman" w:hAnsi="Times New Roman" w:eastAsia="黑体" w:cs="Times New Roman"/>
          <w:color w:val="000000"/>
          <w:kern w:val="0"/>
          <w:sz w:val="32"/>
          <w:szCs w:val="32"/>
          <w:lang w:val="en-US" w:eastAsia="zh-CN" w:bidi="ar"/>
        </w:rPr>
        <w:t>附件2：</w:t>
      </w:r>
    </w:p>
    <w:p>
      <w:pPr>
        <w:pStyle w:val="2"/>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i w:val="0"/>
          <w:iCs w:val="0"/>
          <w:color w:val="000000"/>
          <w:kern w:val="0"/>
          <w:sz w:val="36"/>
          <w:szCs w:val="36"/>
          <w:u w:val="none"/>
          <w:lang w:val="en-US" w:eastAsia="zh-CN" w:bidi="ar"/>
        </w:rPr>
      </w:pPr>
      <w:r>
        <w:rPr>
          <w:rFonts w:hint="eastAsia" w:ascii="Times New Roman" w:hAnsi="Times New Roman" w:eastAsia="方正小标宋_GBK" w:cs="Times New Roman"/>
          <w:bCs/>
          <w:kern w:val="2"/>
          <w:sz w:val="36"/>
          <w:szCs w:val="32"/>
          <w:lang w:val="en-US" w:eastAsia="zh-CN" w:bidi="ar-SA"/>
        </w:rPr>
        <w:t>邵阳市本级城镇职工大病保险承办服务项目绩效评价指标评分表</w:t>
      </w:r>
    </w:p>
    <w:tbl>
      <w:tblPr>
        <w:tblStyle w:val="3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4"/>
        <w:gridCol w:w="696"/>
        <w:gridCol w:w="629"/>
        <w:gridCol w:w="579"/>
        <w:gridCol w:w="1951"/>
        <w:gridCol w:w="5089"/>
        <w:gridCol w:w="587"/>
        <w:gridCol w:w="28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一级</w:t>
            </w:r>
          </w:p>
          <w:p>
            <w:pPr>
              <w:keepNext w:val="0"/>
              <w:keepLines w:val="0"/>
              <w:widowControl/>
              <w:suppressLineNumbers w:val="0"/>
              <w:spacing w:after="0" w:line="240" w:lineRule="auto"/>
              <w:jc w:val="center"/>
              <w:textAlignment w:val="center"/>
              <w:rPr>
                <w:rFonts w:hint="eastAsia"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二级</w:t>
            </w:r>
          </w:p>
          <w:p>
            <w:pPr>
              <w:keepNext w:val="0"/>
              <w:keepLines w:val="0"/>
              <w:widowControl/>
              <w:suppressLineNumbers w:val="0"/>
              <w:spacing w:after="0" w:line="240" w:lineRule="auto"/>
              <w:jc w:val="center"/>
              <w:textAlignment w:val="center"/>
              <w:rPr>
                <w:rFonts w:hint="default"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指标</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三级</w:t>
            </w:r>
          </w:p>
          <w:p>
            <w:pPr>
              <w:keepNext w:val="0"/>
              <w:keepLines w:val="0"/>
              <w:widowControl/>
              <w:suppressLineNumbers w:val="0"/>
              <w:spacing w:after="0" w:line="240" w:lineRule="auto"/>
              <w:jc w:val="center"/>
              <w:textAlignment w:val="center"/>
              <w:rPr>
                <w:rFonts w:hint="default"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指标</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分值</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指标说明</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评分标准</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得分</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0" w:line="240" w:lineRule="auto"/>
              <w:jc w:val="center"/>
              <w:textAlignment w:val="center"/>
              <w:rPr>
                <w:rFonts w:hint="default" w:ascii="黑体" w:hAnsi="宋体" w:eastAsia="黑体" w:cs="黑体"/>
                <w:i w:val="0"/>
                <w:iCs w:val="0"/>
                <w:color w:val="000000"/>
                <w:kern w:val="0"/>
                <w:sz w:val="20"/>
                <w:szCs w:val="20"/>
                <w:u w:val="none"/>
                <w:lang w:val="en-US" w:eastAsia="zh-CN" w:bidi="ar"/>
              </w:rPr>
            </w:pPr>
            <w:r>
              <w:rPr>
                <w:rFonts w:hint="default" w:ascii="黑体" w:hAnsi="宋体" w:eastAsia="黑体" w:cs="黑体"/>
                <w:i w:val="0"/>
                <w:iCs w:val="0"/>
                <w:color w:val="000000"/>
                <w:kern w:val="0"/>
                <w:sz w:val="20"/>
                <w:szCs w:val="20"/>
                <w:u w:val="none"/>
                <w:lang w:val="en-US" w:eastAsia="zh-CN" w:bidi="ar"/>
              </w:rPr>
              <w:t>扣分说明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0" w:hRule="atLeast"/>
        </w:trPr>
        <w:tc>
          <w:tcPr>
            <w:tcW w:w="2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决策（15分）</w:t>
            </w:r>
          </w:p>
        </w:tc>
        <w:tc>
          <w:tcPr>
            <w:tcW w:w="2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项目立项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（11分）</w:t>
            </w: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立项依据充分性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5</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项目立项是否符合法律法规、相关政策、发展规划以及部门职责,用以反映和考核项目立项的依据情况。</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①项目立项是否符合国家相关法律法规、国民经济发展规划和相关政策；</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④项目是否属于公共财政支持范围,是否符合中央、地方事权支出责任划分原则，全部符合计1分；</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⑤项目是否与相关部门同类项目或部门内部相关项目重复。</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以上每出现一起不符合要求扣1分，扣完为止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5</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default"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立项程序规范性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6</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项目申请、设立过程是否符合相关要求,用以反映和考核项目立项的规范情况。</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①项目是否按照规定的程序申请设立；</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②审批文件、材料是否符合相关要求；</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③事前是否已经过必要的可行性研究、专家论证、风险评估、绩效评估、集体决策。</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以上每出现一起不符合要求扣2分，扣完为止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6</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绩效目标</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（4分）</w:t>
            </w: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绩效目标合理性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2</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项目所设定的绩效目标是否依据充分，是否符合客观实际，用以反映和考核项目绩效目标与项目实施的相符情况。</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①项目是否有绩效目标；</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以上每出现一起不符合要求扣1分，扣完为止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1</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未设置年度绩效目标，扣1分。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绩效指标明确性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2</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依据绩效目标设定的绩效指标是否清晰、细化、可衡量等，用以反映和考核项目绩效目标的明细化情况。</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①是否将项目绩效目标细化分解为清晰、可衡量的绩效指标；</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以上每出现一起不符合要求扣1分，扣完为止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0</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未设置绩效目标指标，且不反映项目产出效益和效果，扣2分。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0" w:hRule="atLeast"/>
        </w:trPr>
        <w:tc>
          <w:tcPr>
            <w:tcW w:w="2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过程（36分）</w:t>
            </w:r>
          </w:p>
        </w:tc>
        <w:tc>
          <w:tcPr>
            <w:tcW w:w="2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组织实施</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（33分）</w:t>
            </w: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招标过程合规性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8</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招标过程中各个环节申请、设立过程是否符合相关要求,用以反映和考核招标规范情况。</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①招标过程是否按照国家有关规定履行项目审批手续，取得批准；</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②招标人自行选择的招标代理机构与项目实施单位不得存在隶属关系或者其他利益关系；</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③招标人采用公开招标方式的，应当通过国家指定的报刊、信息网络或者其他媒体发布招标公告（招标公告应当载明招标人的名称和地址、招标项目的性质、数量、实施地点和时间以及获取招标文件的办法等事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④招标人应当根据招标项目的特点和需要编制招标文件（招标文件应当包括项目的技术要求、对投标人资格审查的标准、投标报价要求和评标标准等所有实质性要求和条件以及拟签订合同的主要条款）。</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以上每出现一起不符合要求扣2分，扣完为止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8</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投标过程合规性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6</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投标过程中各个环节申请、设立过程是否符合相关要求,用以反映和考核投标规范情况。</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①投标人不得相互串通投标报价，不得排挤其他投标人的公平竞争，损害招标人或者投标人的合法权益，符合得4分；</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②投标人按照招标文件的要求编制投标文件，并按照招标文件确定的投标截止时间、地点和方式，将投标文件密封或者加密送达招标人、招标代理机构，符合得1分；</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③招标文件要求投标人提交履约保证金的，投标人应当及时提交，符合得1分。</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2</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投标供应商范围可以扩大，全为太平洋系，扣4分。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开标过程合规性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3</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开标过程中各个环节申请、设立过程是否符合相关要求,用以反映和考核开标规范情况。</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①开标应当在招标文件确定的提交投标文件截止时间的同一时间公开进行；</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②开标地点应当为招标文件中预先确定的地点；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③开标过程应当记录，并存档备查。</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以上每出现一起不符合要求扣1分，扣完为止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3</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评标过程合规性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8</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评标过程中各个环节申请、设立过程是否符合相关要求,用以反映和考核评标规范情况。</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①评标委员会由招标人的代表和有关技术、经济等方面的专家组成，成员人数为五人以上单数，其中技术、经济等方面的专家不得少于成员总数的三分之二；</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②与投标人有利害关系的人不得进入相关项目的评标委员会；</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③招标人根据投标供应商提供来的有关资格证明文件，依照法律规定的供应商条件和采购项目对供应商的特定要求，对供应商的资格进行审查；</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④评标委员会应当按照招标文件确定的评标标准和方法，对投标文件进行评审和比较。</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以上每出现一起不符合要求扣2分，扣完为止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8</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中标过程合规性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8</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中标过程中各个环节申请、设立过程是否符合相关要求,用以反映和考核中标规范情况。</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①中标人的投标应当符合最大限度地满足招标文件中规定的各项综合评价标准；</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②招标人应当及时向中标人发出中标通知书，并同时发布项目中标结果公告；</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③招标人和中标人应当自中标通知书发出之日起三十日内，按照招标文件和中标人的投标文件订立书面合同并备案；</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④招标人和中标人不得再行订立背离合同实质性内容的其他协议。</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以上每出现一起不符合要求扣2分，扣完为止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8</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资金管理</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（3分）</w:t>
            </w: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资金使用合规性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3</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预算资金使用是否符合相关的财务管理制度规定,用以反映和考核预算资金的规范运行情况。</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④是否存在截留、挤占、挪用、虐列支出等情况。</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每发现一起挤占挪用专项资金的扣1分。3分扣完时，在绩效评价指标总体得分上继续扣分。</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3</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trPr>
        <w:tc>
          <w:tcPr>
            <w:tcW w:w="270" w:type="pct"/>
            <w:vMerge w:val="restart"/>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产出（29分）</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产出数量</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(10分)</w:t>
            </w: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项目赔付案件</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10</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项目实施的实际产出数与计划产出数的比率，用以反映和考核项目产出数量目标的实现程度。</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项目在承保期间对邵阳市本级参加了城镇职工大病医疗互助的参保人员做到因赔尽赔。</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10</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trPr>
        <w:tc>
          <w:tcPr>
            <w:tcW w:w="27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产出质量</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(10分)</w:t>
            </w: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项目质量考核</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10</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项目完成的质量达标产出数与实际产出数的比率，用以反映和考核项目产出质量目标的实现。</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采购项目符合采购需求中的技术要求,得10分,每发现1处不符合情况扣1分,扣完为止。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7</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采购项目基本符合符合采购需求中的技术要求，但未按要求做到每月每季进行一次专项稽核；未设立城镇职工大病保险专户；未进行季度基金运营分析报告。扣3分。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27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产出时效</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(9分)</w:t>
            </w: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履约付款及时性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9</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项目实际完成时间与计划完成时间的比较，用以反映和考核项目产出时效目标的实现程度。</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按照采购合同约定,大病保险保费和承办服务费每个年度按3次结付,如保费出现亏损，风险金于次年5月底前结算。</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每发现1处不符合情况扣2分,扣完为止。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5</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第三期承办服务费的部分余款和风险金因为疫情超时结算。扣2分。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效益（20分）</w:t>
            </w:r>
          </w:p>
        </w:tc>
        <w:tc>
          <w:tcPr>
            <w:tcW w:w="2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社会效益</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（15分）</w:t>
            </w: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争议处理</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3</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专项资金履行职责对社会发展所带来的直接或间接影响。</w:t>
            </w:r>
          </w:p>
        </w:tc>
        <w:tc>
          <w:tcPr>
            <w:tcW w:w="194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不存在因采购文件、采购程序等违反相关法律法规或制度规定导致供应商提出有效质疑、投诉及重新采购情况,得3分,每发现1处该类情况扣1分,扣完为止。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3</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采购公平性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3</w:t>
            </w:r>
          </w:p>
        </w:tc>
        <w:tc>
          <w:tcPr>
            <w:tcW w:w="74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项目实施对社会发展所带来的直接或间接影响情况。</w:t>
            </w:r>
          </w:p>
        </w:tc>
        <w:tc>
          <w:tcPr>
            <w:tcW w:w="194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不存在《财政部关于促进政府采购公平竞争优化营商环境的通知》中明确的政府采购领域妨碍公平竞争的规定和做法,得3分,每发现1处该类情况扣1分,扣完为止。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3</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采购公正性</w:t>
            </w:r>
          </w:p>
        </w:tc>
        <w:tc>
          <w:tcPr>
            <w:tcW w:w="222"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3</w:t>
            </w:r>
          </w:p>
        </w:tc>
        <w:tc>
          <w:tcPr>
            <w:tcW w:w="74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项目实施对社会发展所带来的直接或间接影响情况。</w:t>
            </w:r>
          </w:p>
        </w:tc>
        <w:tc>
          <w:tcPr>
            <w:tcW w:w="19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不存在评标评审、中标(成交)结果不公正,违反《政府采购法》及相关法规条例等公正性要求情况,得3分,每发现1处该类情况扣1分,扣完为止。</w:t>
            </w:r>
          </w:p>
        </w:tc>
        <w:tc>
          <w:tcPr>
            <w:tcW w:w="225" w:type="pc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3</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采购公开性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3</w:t>
            </w:r>
          </w:p>
        </w:tc>
        <w:tc>
          <w:tcPr>
            <w:tcW w:w="74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项目实施对社会发展所带来的直接或间接影响情况。</w:t>
            </w:r>
          </w:p>
        </w:tc>
        <w:tc>
          <w:tcPr>
            <w:tcW w:w="1942" w:type="pct"/>
            <w:tcBorders>
              <w:top w:val="single" w:color="auto"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按照《财政部关于做好政府采购信息公开工作的通知》、《财政部关于进一步做好政府采购信息公开工作有关事项的通知》、《政府采购信息发布管理办法》等规定进行信息公开，得3分,每发现1处该类情况扣1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3</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理赔及时性</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3</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项目实施对社会发展所带来的直接或间接影响情况。</w:t>
            </w:r>
          </w:p>
        </w:tc>
        <w:tc>
          <w:tcPr>
            <w:tcW w:w="194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是否按时对项目被保险人群进行理赔，得3分,每发现1处该类情况扣1分,扣完为止。</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3</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满意度</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（5分）</w:t>
            </w:r>
          </w:p>
        </w:tc>
        <w:tc>
          <w:tcPr>
            <w:tcW w:w="240"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服务对象满意度</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5</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社会公众或服务对象对项目实施效果的满意程度。</w:t>
            </w:r>
          </w:p>
        </w:tc>
        <w:tc>
          <w:tcPr>
            <w:tcW w:w="19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评价要点:</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通过纸质调查问卷统计分析</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①满意度在90%以上，计5分。</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②满意度在90%以下，89%-80%扣2分；79%-70%扣4分；低于70%扣5分。</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5</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ascii="Times New Roman" w:hAnsi="Times New Roman" w:eastAsia="仿宋_GB2312" w:cs="Times New Roman"/>
                <w:color w:val="000000"/>
                <w:kern w:val="0"/>
                <w:sz w:val="24"/>
                <w:szCs w:val="24"/>
                <w:lang w:val="en-US" w:eastAsia="zh-CN"/>
              </w:rPr>
            </w:pPr>
            <w:r>
              <w:rPr>
                <w:rFonts w:hint="eastAsia" w:ascii="Times New Roman" w:hAnsi="Times New Roman" w:eastAsia="仿宋_GB2312" w:cs="Times New Roman"/>
                <w:color w:val="000000"/>
                <w:kern w:val="0"/>
                <w:sz w:val="24"/>
                <w:szCs w:val="24"/>
                <w:lang w:val="en-US" w:eastAsia="zh-CN"/>
              </w:rPr>
              <w:t>此项不扣分。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总分</w:t>
            </w: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100</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default" w:ascii="Times New Roman" w:hAnsi="Times New Roman" w:eastAsia="仿宋_GB2312" w:cs="Times New Roman"/>
                <w:color w:val="000000"/>
                <w:kern w:val="0"/>
                <w:sz w:val="24"/>
                <w:szCs w:val="24"/>
                <w:lang w:val="en-US" w:eastAsia="zh-CN"/>
              </w:rPr>
            </w:pPr>
          </w:p>
        </w:tc>
        <w:tc>
          <w:tcPr>
            <w:tcW w:w="19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default" w:ascii="Times New Roman" w:hAnsi="Times New Roman" w:eastAsia="仿宋_GB2312" w:cs="Times New Roman"/>
                <w:color w:val="000000"/>
                <w:kern w:val="0"/>
                <w:sz w:val="24"/>
                <w:szCs w:val="24"/>
                <w:lang w:val="en-US" w:eastAsia="zh-CN"/>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ascii="Times New Roman" w:hAnsi="Times New Roman" w:eastAsia="仿宋_GB2312" w:cs="Times New Roman"/>
                <w:color w:val="000000"/>
                <w:kern w:val="0"/>
                <w:sz w:val="24"/>
                <w:szCs w:val="24"/>
                <w:lang w:val="en-US" w:eastAsia="zh-CN"/>
              </w:rPr>
            </w:pPr>
            <w:r>
              <w:rPr>
                <w:rFonts w:hint="default" w:ascii="Times New Roman" w:hAnsi="Times New Roman" w:eastAsia="仿宋_GB2312" w:cs="Times New Roman"/>
                <w:color w:val="000000"/>
                <w:kern w:val="0"/>
                <w:sz w:val="24"/>
                <w:szCs w:val="24"/>
                <w:lang w:val="en-US" w:eastAsia="zh-CN"/>
              </w:rPr>
              <w:t>8</w:t>
            </w:r>
            <w:r>
              <w:rPr>
                <w:rFonts w:hint="eastAsia" w:ascii="Times New Roman" w:hAnsi="Times New Roman" w:eastAsia="仿宋_GB2312" w:cs="Times New Roman"/>
                <w:color w:val="000000"/>
                <w:kern w:val="0"/>
                <w:sz w:val="24"/>
                <w:szCs w:val="24"/>
                <w:lang w:val="en-US" w:eastAsia="zh-CN"/>
              </w:rPr>
              <w:t>6</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default" w:ascii="Times New Roman" w:hAnsi="Times New Roman" w:eastAsia="仿宋_GB2312" w:cs="Times New Roman"/>
                <w:color w:val="000000"/>
                <w:kern w:val="0"/>
                <w:sz w:val="24"/>
                <w:szCs w:val="24"/>
                <w:lang w:val="en-US" w:eastAsia="zh-CN"/>
              </w:rPr>
            </w:pPr>
          </w:p>
        </w:tc>
      </w:tr>
    </w:tbl>
    <w:p>
      <w:pPr>
        <w:pStyle w:val="138"/>
        <w:rPr>
          <w:rFonts w:hint="eastAsia"/>
        </w:rPr>
      </w:pPr>
      <w:bookmarkStart w:id="3" w:name="_GoBack"/>
      <w:bookmarkEnd w:id="3"/>
    </w:p>
    <w:sectPr>
      <w:pgSz w:w="15840" w:h="12240" w:orient="landscape"/>
      <w:pgMar w:top="1587" w:right="1474" w:bottom="1587" w:left="1474" w:header="720" w:footer="720" w:gutter="0"/>
      <w:pgNumType w:fmt="decimal"/>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2B2535-C984-4111-A6B8-8D42C1DF777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00595F96-67F3-4AC2-8402-1C5BF7E741F3}"/>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MS Mincho">
    <w:panose1 w:val="02020609040205080304"/>
    <w:charset w:val="80"/>
    <w:family w:val="auto"/>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3" w:fontKey="{54B13F24-16FA-43D2-911B-83E3AD9842F4}"/>
  </w:font>
  <w:font w:name="仿宋_GB2312">
    <w:altName w:val="仿宋"/>
    <w:panose1 w:val="00000000000000000000"/>
    <w:charset w:val="86"/>
    <w:family w:val="modern"/>
    <w:pitch w:val="default"/>
    <w:sig w:usb0="00000000" w:usb1="00000000" w:usb2="00000010" w:usb3="00000000" w:csb0="00040000" w:csb1="00000000"/>
    <w:embedRegular r:id="rId4" w:fontKey="{16C4DE21-F960-4899-BC64-77D234665385}"/>
  </w:font>
  <w:font w:name="仿宋">
    <w:panose1 w:val="02010609060101010101"/>
    <w:charset w:val="86"/>
    <w:family w:val="auto"/>
    <w:pitch w:val="default"/>
    <w:sig w:usb0="800002BF" w:usb1="38CF7CFA" w:usb2="00000016" w:usb3="00000000" w:csb0="00040001" w:csb1="00000000"/>
    <w:embedRegular r:id="rId5" w:fontKey="{6E333E96-AB44-4DCF-860A-AB50B6BC3218}"/>
  </w:font>
  <w:font w:name="楷体">
    <w:panose1 w:val="02010609060101010101"/>
    <w:charset w:val="86"/>
    <w:family w:val="auto"/>
    <w:pitch w:val="default"/>
    <w:sig w:usb0="800002BF" w:usb1="38CF7CFA" w:usb2="00000016" w:usb3="00000000" w:csb0="00040001" w:csb1="00000000"/>
    <w:embedRegular r:id="rId6" w:fontKey="{840DB9AA-4DD4-4955-B8F8-9FCD5DDEB2D0}"/>
  </w:font>
  <w:font w:name="方正仿宋_GB2312">
    <w:panose1 w:val="02000000000000000000"/>
    <w:charset w:val="86"/>
    <w:family w:val="auto"/>
    <w:pitch w:val="default"/>
    <w:sig w:usb0="A00002BF" w:usb1="184F6CFA" w:usb2="00000012" w:usb3="00000000" w:csb0="00040001" w:csb1="00000000"/>
    <w:embedRegular r:id="rId7" w:fontKey="{E1F71BE5-A231-4C13-91D9-8623104A22BC}"/>
  </w:font>
  <w:font w:name="方正小标宋_GBK">
    <w:panose1 w:val="02000000000000000000"/>
    <w:charset w:val="86"/>
    <w:family w:val="auto"/>
    <w:pitch w:val="default"/>
    <w:sig w:usb0="A00002BF" w:usb1="38CF7CFA" w:usb2="00082016" w:usb3="00000000" w:csb0="00040001" w:csb1="00000000"/>
    <w:embedRegular r:id="rId8" w:fontKey="{DF35C5CC-3CAF-47A9-AA07-ECD3C91A2C76}"/>
  </w:font>
  <w:font w:name="Nimbus Roman No9 L">
    <w:altName w:val="Segoe Print"/>
    <w:panose1 w:val="00000000000000000000"/>
    <w:charset w:val="00"/>
    <w:family w:val="auto"/>
    <w:pitch w:val="default"/>
    <w:sig w:usb0="00000000" w:usb1="00000000" w:usb2="00000000" w:usb3="00000000" w:csb0="00040001" w:csb1="00000000"/>
    <w:embedRegular r:id="rId9" w:fontKey="{013FC135-2630-4233-B384-A3F1AA92285C}"/>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方正粗黑宋简体">
    <w:panose1 w:val="02000000000000000000"/>
    <w:charset w:val="86"/>
    <w:family w:val="auto"/>
    <w:pitch w:val="default"/>
    <w:sig w:usb0="A00002BF" w:usb1="184F6CFA" w:usb2="00000012" w:usb3="00000000" w:csb0="00040001" w:csb1="00000000"/>
    <w:embedRegular r:id="rId10" w:fontKey="{E4E4F6D4-5992-419E-9D05-21DCB805C25B}"/>
  </w:font>
  <w:font w:name="仿宋_GB2312">
    <w:altName w:val="仿宋"/>
    <w:panose1 w:val="00000000000000000000"/>
    <w:charset w:val="00"/>
    <w:family w:val="auto"/>
    <w:pitch w:val="default"/>
    <w:sig w:usb0="00000000" w:usb1="00000000" w:usb2="00000000" w:usb3="00000000" w:csb0="00040001" w:csb1="00000000"/>
    <w:embedRegular r:id="rId11" w:fontKey="{CCA1AB64-5CBA-47BD-9BC2-2A29EDF6EFD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515D4"/>
    <w:multiLevelType w:val="singleLevel"/>
    <w:tmpl w:val="836515D4"/>
    <w:lvl w:ilvl="0" w:tentative="0">
      <w:start w:val="1"/>
      <w:numFmt w:val="decimal"/>
      <w:suff w:val="nothing"/>
      <w:lvlText w:val="%1、"/>
      <w:lvlJc w:val="left"/>
    </w:lvl>
  </w:abstractNum>
  <w:abstractNum w:abstractNumId="1">
    <w:nsid w:val="E69F52D3"/>
    <w:multiLevelType w:val="singleLevel"/>
    <w:tmpl w:val="E69F52D3"/>
    <w:lvl w:ilvl="0" w:tentative="0">
      <w:start w:val="1"/>
      <w:numFmt w:val="chineseCounting"/>
      <w:suff w:val="nothing"/>
      <w:lvlText w:val="（%1）"/>
      <w:lvlJc w:val="left"/>
      <w:rPr>
        <w:rFonts w:hint="eastAsia"/>
      </w:rPr>
    </w:lvl>
  </w:abstractNum>
  <w:abstractNum w:abstractNumId="2">
    <w:nsid w:val="F540CD6C"/>
    <w:multiLevelType w:val="singleLevel"/>
    <w:tmpl w:val="F540CD6C"/>
    <w:lvl w:ilvl="0" w:tentative="0">
      <w:start w:val="1"/>
      <w:numFmt w:val="decimal"/>
      <w:suff w:val="nothing"/>
      <w:lvlText w:val="%1．"/>
      <w:lvlJc w:val="left"/>
      <w:pPr>
        <w:ind w:left="20" w:firstLine="400"/>
      </w:pPr>
      <w:rPr>
        <w:rFonts w:hint="default"/>
      </w:rPr>
    </w:lvl>
  </w:abstractNum>
  <w:abstractNum w:abstractNumId="3">
    <w:nsid w:val="FFFFFF7E"/>
    <w:multiLevelType w:val="singleLevel"/>
    <w:tmpl w:val="FFFFFF7E"/>
    <w:lvl w:ilvl="0" w:tentative="0">
      <w:start w:val="1"/>
      <w:numFmt w:val="decimal"/>
      <w:pStyle w:val="22"/>
      <w:lvlText w:val="%1."/>
      <w:lvlJc w:val="left"/>
      <w:pPr>
        <w:tabs>
          <w:tab w:val="left" w:pos="1080"/>
        </w:tabs>
        <w:ind w:left="1080" w:hanging="360"/>
      </w:pPr>
    </w:lvl>
  </w:abstractNum>
  <w:abstractNum w:abstractNumId="4">
    <w:nsid w:val="FFFFFF7F"/>
    <w:multiLevelType w:val="singleLevel"/>
    <w:tmpl w:val="FFFFFF7F"/>
    <w:lvl w:ilvl="0" w:tentative="0">
      <w:start w:val="1"/>
      <w:numFmt w:val="decimal"/>
      <w:pStyle w:val="14"/>
      <w:lvlText w:val="%1."/>
      <w:lvlJc w:val="left"/>
      <w:pPr>
        <w:tabs>
          <w:tab w:val="left" w:pos="720"/>
        </w:tabs>
        <w:ind w:left="720" w:hanging="360"/>
      </w:pPr>
    </w:lvl>
  </w:abstractNum>
  <w:abstractNum w:abstractNumId="5">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6">
    <w:nsid w:val="FFFFFF83"/>
    <w:multiLevelType w:val="singleLevel"/>
    <w:tmpl w:val="FFFFFF83"/>
    <w:lvl w:ilvl="0" w:tentative="0">
      <w:start w:val="1"/>
      <w:numFmt w:val="bullet"/>
      <w:pStyle w:val="25"/>
      <w:lvlText w:val=""/>
      <w:lvlJc w:val="left"/>
      <w:pPr>
        <w:tabs>
          <w:tab w:val="left" w:pos="720"/>
        </w:tabs>
        <w:ind w:left="720" w:hanging="360"/>
      </w:pPr>
      <w:rPr>
        <w:rFonts w:hint="default" w:ascii="Symbol" w:hAnsi="Symbol"/>
      </w:rPr>
    </w:lvl>
  </w:abstractNum>
  <w:abstractNum w:abstractNumId="7">
    <w:nsid w:val="FFFFFF88"/>
    <w:multiLevelType w:val="singleLevel"/>
    <w:tmpl w:val="FFFFFF88"/>
    <w:lvl w:ilvl="0" w:tentative="0">
      <w:start w:val="1"/>
      <w:numFmt w:val="decimal"/>
      <w:pStyle w:val="15"/>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9">
    <w:nsid w:val="2FF649CF"/>
    <w:multiLevelType w:val="singleLevel"/>
    <w:tmpl w:val="2FF649CF"/>
    <w:lvl w:ilvl="0" w:tentative="0">
      <w:start w:val="1"/>
      <w:numFmt w:val="decimal"/>
      <w:suff w:val="nothing"/>
      <w:lvlText w:val="%1、"/>
      <w:lvlJc w:val="left"/>
    </w:lvl>
  </w:abstractNum>
  <w:abstractNum w:abstractNumId="10">
    <w:nsid w:val="31FC3E01"/>
    <w:multiLevelType w:val="singleLevel"/>
    <w:tmpl w:val="31FC3E01"/>
    <w:lvl w:ilvl="0" w:tentative="0">
      <w:start w:val="2"/>
      <w:numFmt w:val="chineseCounting"/>
      <w:suff w:val="nothing"/>
      <w:lvlText w:val="（%1）"/>
      <w:lvlJc w:val="left"/>
      <w:rPr>
        <w:rFonts w:hint="eastAsia"/>
      </w:rPr>
    </w:lvl>
  </w:abstractNum>
  <w:abstractNum w:abstractNumId="11">
    <w:nsid w:val="4193AF6E"/>
    <w:multiLevelType w:val="singleLevel"/>
    <w:tmpl w:val="4193AF6E"/>
    <w:lvl w:ilvl="0" w:tentative="0">
      <w:start w:val="2"/>
      <w:numFmt w:val="chineseCounting"/>
      <w:suff w:val="nothing"/>
      <w:lvlText w:val="（%1）"/>
      <w:lvlJc w:val="left"/>
      <w:rPr>
        <w:rFonts w:hint="eastAsia"/>
      </w:rPr>
    </w:lvl>
  </w:abstractNum>
  <w:abstractNum w:abstractNumId="12">
    <w:nsid w:val="5C06F3C2"/>
    <w:multiLevelType w:val="singleLevel"/>
    <w:tmpl w:val="5C06F3C2"/>
    <w:lvl w:ilvl="0" w:tentative="0">
      <w:start w:val="1"/>
      <w:numFmt w:val="chineseCounting"/>
      <w:suff w:val="nothing"/>
      <w:lvlText w:val="（%1）"/>
      <w:lvlJc w:val="left"/>
      <w:rPr>
        <w:rFonts w:hint="eastAsia"/>
      </w:rPr>
    </w:lvl>
  </w:abstractNum>
  <w:abstractNum w:abstractNumId="13">
    <w:nsid w:val="624C38BC"/>
    <w:multiLevelType w:val="singleLevel"/>
    <w:tmpl w:val="624C38BC"/>
    <w:lvl w:ilvl="0" w:tentative="0">
      <w:start w:val="2"/>
      <w:numFmt w:val="decimal"/>
      <w:suff w:val="nothing"/>
      <w:lvlText w:val="%1、"/>
      <w:lvlJc w:val="left"/>
    </w:lvl>
  </w:abstractNum>
  <w:abstractNum w:abstractNumId="14">
    <w:nsid w:val="75BFA3F1"/>
    <w:multiLevelType w:val="singleLevel"/>
    <w:tmpl w:val="75BFA3F1"/>
    <w:lvl w:ilvl="0" w:tentative="0">
      <w:start w:val="1"/>
      <w:numFmt w:val="decimal"/>
      <w:suff w:val="nothing"/>
      <w:lvlText w:val="%1．"/>
      <w:lvlJc w:val="left"/>
      <w:pPr>
        <w:ind w:left="0" w:firstLine="400"/>
      </w:pPr>
      <w:rPr>
        <w:rFonts w:hint="default"/>
      </w:rPr>
    </w:lvl>
  </w:abstractNum>
  <w:num w:numId="1">
    <w:abstractNumId w:val="4"/>
  </w:num>
  <w:num w:numId="2">
    <w:abstractNumId w:val="7"/>
  </w:num>
  <w:num w:numId="3">
    <w:abstractNumId w:val="8"/>
  </w:num>
  <w:num w:numId="4">
    <w:abstractNumId w:val="5"/>
  </w:num>
  <w:num w:numId="5">
    <w:abstractNumId w:val="3"/>
  </w:num>
  <w:num w:numId="6">
    <w:abstractNumId w:val="6"/>
  </w:num>
  <w:num w:numId="7">
    <w:abstractNumId w:val="11"/>
  </w:num>
  <w:num w:numId="8">
    <w:abstractNumId w:val="0"/>
  </w:num>
  <w:num w:numId="9">
    <w:abstractNumId w:val="13"/>
  </w:num>
  <w:num w:numId="10">
    <w:abstractNumId w:val="2"/>
  </w:num>
  <w:num w:numId="11">
    <w:abstractNumId w:val="10"/>
  </w:num>
  <w:num w:numId="12">
    <w:abstractNumId w:val="14"/>
  </w:num>
  <w:num w:numId="13">
    <w:abstractNumId w:val="9"/>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2UwMDliZTU0ZDU1NzQxNmUyNDJlOTk4OGFiZjAifQ=="/>
  </w:docVars>
  <w:rsids>
    <w:rsidRoot w:val="00000000"/>
    <w:rsid w:val="01BB5F1B"/>
    <w:rsid w:val="03F51233"/>
    <w:rsid w:val="067D736C"/>
    <w:rsid w:val="06980863"/>
    <w:rsid w:val="08BD20E2"/>
    <w:rsid w:val="08C200BB"/>
    <w:rsid w:val="092C6E46"/>
    <w:rsid w:val="09F22B9F"/>
    <w:rsid w:val="0B376639"/>
    <w:rsid w:val="0C807FF6"/>
    <w:rsid w:val="0CFB3363"/>
    <w:rsid w:val="0DE833B5"/>
    <w:rsid w:val="0E9B17BB"/>
    <w:rsid w:val="0EF50A8B"/>
    <w:rsid w:val="10F42D61"/>
    <w:rsid w:val="113B15FC"/>
    <w:rsid w:val="13635202"/>
    <w:rsid w:val="13A862B5"/>
    <w:rsid w:val="175471F0"/>
    <w:rsid w:val="18096A17"/>
    <w:rsid w:val="1ACD1308"/>
    <w:rsid w:val="1CA84170"/>
    <w:rsid w:val="1F312AAB"/>
    <w:rsid w:val="1FBD0D8B"/>
    <w:rsid w:val="21A93097"/>
    <w:rsid w:val="21D66B2E"/>
    <w:rsid w:val="23814109"/>
    <w:rsid w:val="25550AC2"/>
    <w:rsid w:val="257218BD"/>
    <w:rsid w:val="26FA204C"/>
    <w:rsid w:val="294C4188"/>
    <w:rsid w:val="2BAF6ABB"/>
    <w:rsid w:val="2C786367"/>
    <w:rsid w:val="2D8C1573"/>
    <w:rsid w:val="2E124790"/>
    <w:rsid w:val="2E871C7F"/>
    <w:rsid w:val="32C148E5"/>
    <w:rsid w:val="354312AE"/>
    <w:rsid w:val="375120B2"/>
    <w:rsid w:val="37C04378"/>
    <w:rsid w:val="37CC30FB"/>
    <w:rsid w:val="38451D30"/>
    <w:rsid w:val="3879064E"/>
    <w:rsid w:val="387D4B6C"/>
    <w:rsid w:val="396B6801"/>
    <w:rsid w:val="3A575260"/>
    <w:rsid w:val="3AB15613"/>
    <w:rsid w:val="3C1C4C79"/>
    <w:rsid w:val="3CAA396B"/>
    <w:rsid w:val="3CBF274C"/>
    <w:rsid w:val="412856C0"/>
    <w:rsid w:val="41B20209"/>
    <w:rsid w:val="423B5E0F"/>
    <w:rsid w:val="44742EF1"/>
    <w:rsid w:val="466435C2"/>
    <w:rsid w:val="47151445"/>
    <w:rsid w:val="4A017E23"/>
    <w:rsid w:val="4D3459D6"/>
    <w:rsid w:val="51984184"/>
    <w:rsid w:val="5600472B"/>
    <w:rsid w:val="56C41374"/>
    <w:rsid w:val="587071A7"/>
    <w:rsid w:val="59C256E4"/>
    <w:rsid w:val="5CAE613A"/>
    <w:rsid w:val="5D994262"/>
    <w:rsid w:val="5E0C4936"/>
    <w:rsid w:val="5E382E13"/>
    <w:rsid w:val="5EFE1FDE"/>
    <w:rsid w:val="603C1FFC"/>
    <w:rsid w:val="61E07370"/>
    <w:rsid w:val="64063AB3"/>
    <w:rsid w:val="65E8717A"/>
    <w:rsid w:val="6C201D3A"/>
    <w:rsid w:val="6CAC554D"/>
    <w:rsid w:val="6E517E9A"/>
    <w:rsid w:val="6E83026E"/>
    <w:rsid w:val="6FA106B4"/>
    <w:rsid w:val="70051CAB"/>
    <w:rsid w:val="70EF7E2E"/>
    <w:rsid w:val="787A0EA1"/>
    <w:rsid w:val="7A387029"/>
    <w:rsid w:val="7A9F70DE"/>
    <w:rsid w:val="7B047259"/>
    <w:rsid w:val="7BA93E3A"/>
    <w:rsid w:val="7DA14E82"/>
  </w:rsids>
  <m:mathPr>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heme="minorBidi"/>
      <w:sz w:val="22"/>
      <w:szCs w:val="22"/>
      <w:lang w:val="en-US" w:eastAsia="en-US" w:bidi="ar-SA"/>
    </w:rPr>
  </w:style>
  <w:style w:type="paragraph" w:styleId="4">
    <w:name w:val="heading 1"/>
    <w:basedOn w:val="1"/>
    <w:next w:val="1"/>
    <w:link w:val="142"/>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5">
    <w:name w:val="heading 2"/>
    <w:basedOn w:val="1"/>
    <w:next w:val="1"/>
    <w:link w:val="143"/>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6">
    <w:name w:val="heading 3"/>
    <w:basedOn w:val="1"/>
    <w:next w:val="1"/>
    <w:link w:val="144"/>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7">
    <w:name w:val="heading 4"/>
    <w:basedOn w:val="1"/>
    <w:next w:val="1"/>
    <w:link w:val="154"/>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8">
    <w:name w:val="heading 5"/>
    <w:basedOn w:val="1"/>
    <w:next w:val="1"/>
    <w:link w:val="155"/>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9">
    <w:name w:val="heading 6"/>
    <w:basedOn w:val="1"/>
    <w:next w:val="1"/>
    <w:link w:val="156"/>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0">
    <w:name w:val="heading 7"/>
    <w:basedOn w:val="1"/>
    <w:next w:val="1"/>
    <w:link w:val="157"/>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1">
    <w:name w:val="heading 8"/>
    <w:basedOn w:val="1"/>
    <w:next w:val="1"/>
    <w:link w:val="158"/>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2">
    <w:name w:val="heading 9"/>
    <w:basedOn w:val="1"/>
    <w:next w:val="1"/>
    <w:link w:val="159"/>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unhideWhenUsed/>
    <w:qFormat/>
    <w:uiPriority w:val="1"/>
  </w:style>
  <w:style w:type="table" w:default="1" w:styleId="3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48"/>
    <w:unhideWhenUsed/>
    <w:qFormat/>
    <w:uiPriority w:val="99"/>
    <w:pPr>
      <w:spacing w:after="120"/>
    </w:pPr>
  </w:style>
  <w:style w:type="paragraph" w:styleId="3">
    <w:name w:val="macro"/>
    <w:link w:val="151"/>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3">
    <w:name w:val="List 3"/>
    <w:basedOn w:val="1"/>
    <w:unhideWhenUsed/>
    <w:qFormat/>
    <w:uiPriority w:val="99"/>
    <w:pPr>
      <w:ind w:left="1080" w:hanging="360"/>
      <w:contextualSpacing/>
    </w:pPr>
  </w:style>
  <w:style w:type="paragraph" w:styleId="14">
    <w:name w:val="List Number 2"/>
    <w:basedOn w:val="1"/>
    <w:unhideWhenUsed/>
    <w:qFormat/>
    <w:uiPriority w:val="99"/>
    <w:pPr>
      <w:numPr>
        <w:ilvl w:val="0"/>
        <w:numId w:val="1"/>
      </w:numPr>
      <w:contextualSpacing/>
    </w:pPr>
  </w:style>
  <w:style w:type="paragraph" w:styleId="15">
    <w:name w:val="List Number"/>
    <w:basedOn w:val="1"/>
    <w:unhideWhenUsed/>
    <w:qFormat/>
    <w:uiPriority w:val="99"/>
    <w:pPr>
      <w:numPr>
        <w:ilvl w:val="0"/>
        <w:numId w:val="2"/>
      </w:numPr>
      <w:contextualSpacing/>
    </w:pPr>
  </w:style>
  <w:style w:type="paragraph" w:styleId="16">
    <w:name w:val="caption"/>
    <w:basedOn w:val="1"/>
    <w:next w:val="1"/>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7">
    <w:name w:val="index 5"/>
    <w:basedOn w:val="1"/>
    <w:next w:val="1"/>
    <w:qFormat/>
    <w:uiPriority w:val="0"/>
    <w:pPr>
      <w:ind w:left="800" w:leftChars="800"/>
    </w:pPr>
  </w:style>
  <w:style w:type="paragraph" w:styleId="18">
    <w:name w:val="List Bullet"/>
    <w:basedOn w:val="1"/>
    <w:unhideWhenUsed/>
    <w:qFormat/>
    <w:uiPriority w:val="99"/>
    <w:pPr>
      <w:numPr>
        <w:ilvl w:val="0"/>
        <w:numId w:val="3"/>
      </w:numPr>
      <w:contextualSpacing/>
    </w:pPr>
  </w:style>
  <w:style w:type="paragraph" w:styleId="19">
    <w:name w:val="annotation text"/>
    <w:basedOn w:val="1"/>
    <w:unhideWhenUsed/>
    <w:qFormat/>
    <w:uiPriority w:val="99"/>
    <w:pPr>
      <w:jc w:val="left"/>
    </w:pPr>
  </w:style>
  <w:style w:type="paragraph" w:styleId="20">
    <w:name w:val="Body Text 3"/>
    <w:basedOn w:val="1"/>
    <w:link w:val="150"/>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List Number 3"/>
    <w:basedOn w:val="1"/>
    <w:unhideWhenUsed/>
    <w:qFormat/>
    <w:uiPriority w:val="99"/>
    <w:pPr>
      <w:numPr>
        <w:ilvl w:val="0"/>
        <w:numId w:val="5"/>
      </w:numPr>
      <w:contextualSpacing/>
    </w:pPr>
  </w:style>
  <w:style w:type="paragraph" w:styleId="23">
    <w:name w:val="List 2"/>
    <w:basedOn w:val="1"/>
    <w:unhideWhenUsed/>
    <w:qFormat/>
    <w:uiPriority w:val="99"/>
    <w:pPr>
      <w:ind w:left="720" w:hanging="360"/>
      <w:contextualSpacing/>
    </w:pPr>
  </w:style>
  <w:style w:type="paragraph" w:styleId="24">
    <w:name w:val="List Continue"/>
    <w:basedOn w:val="1"/>
    <w:unhideWhenUsed/>
    <w:qFormat/>
    <w:uiPriority w:val="99"/>
    <w:pPr>
      <w:spacing w:after="120"/>
      <w:ind w:left="360"/>
      <w:contextualSpacing/>
    </w:pPr>
  </w:style>
  <w:style w:type="paragraph" w:styleId="25">
    <w:name w:val="List Bullet 2"/>
    <w:basedOn w:val="1"/>
    <w:unhideWhenUsed/>
    <w:qFormat/>
    <w:uiPriority w:val="99"/>
    <w:pPr>
      <w:numPr>
        <w:ilvl w:val="0"/>
        <w:numId w:val="6"/>
      </w:numPr>
      <w:contextualSpacing/>
    </w:pPr>
  </w:style>
  <w:style w:type="paragraph" w:styleId="26">
    <w:name w:val="footer"/>
    <w:basedOn w:val="1"/>
    <w:next w:val="17"/>
    <w:link w:val="140"/>
    <w:unhideWhenUsed/>
    <w:qFormat/>
    <w:uiPriority w:val="99"/>
    <w:pPr>
      <w:tabs>
        <w:tab w:val="center" w:pos="4680"/>
        <w:tab w:val="right" w:pos="9360"/>
      </w:tabs>
      <w:spacing w:after="0" w:line="240" w:lineRule="auto"/>
    </w:pPr>
  </w:style>
  <w:style w:type="paragraph" w:styleId="27">
    <w:name w:val="header"/>
    <w:basedOn w:val="1"/>
    <w:link w:val="139"/>
    <w:unhideWhenUsed/>
    <w:qFormat/>
    <w:uiPriority w:val="99"/>
    <w:pPr>
      <w:tabs>
        <w:tab w:val="center" w:pos="4680"/>
        <w:tab w:val="right" w:pos="9360"/>
      </w:tabs>
      <w:spacing w:after="0" w:line="240" w:lineRule="auto"/>
    </w:pPr>
  </w:style>
  <w:style w:type="paragraph" w:styleId="28">
    <w:name w:val="Subtitle"/>
    <w:basedOn w:val="1"/>
    <w:next w:val="1"/>
    <w:link w:val="14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9">
    <w:name w:val="List"/>
    <w:basedOn w:val="1"/>
    <w:unhideWhenUsed/>
    <w:qFormat/>
    <w:uiPriority w:val="99"/>
    <w:pPr>
      <w:ind w:left="360" w:hanging="360"/>
      <w:contextualSpacing/>
    </w:pPr>
  </w:style>
  <w:style w:type="paragraph" w:styleId="30">
    <w:name w:val="Body Text 2"/>
    <w:basedOn w:val="1"/>
    <w:link w:val="149"/>
    <w:unhideWhenUsed/>
    <w:qFormat/>
    <w:uiPriority w:val="99"/>
    <w:pPr>
      <w:spacing w:after="120" w:line="480" w:lineRule="auto"/>
    </w:pPr>
  </w:style>
  <w:style w:type="paragraph" w:styleId="31">
    <w:name w:val="List Continue 2"/>
    <w:basedOn w:val="1"/>
    <w:unhideWhenUsed/>
    <w:qFormat/>
    <w:uiPriority w:val="99"/>
    <w:pPr>
      <w:spacing w:after="120"/>
      <w:ind w:left="720"/>
      <w:contextualSpacing/>
    </w:pPr>
  </w:style>
  <w:style w:type="paragraph" w:styleId="32">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33">
    <w:name w:val="List Continue 3"/>
    <w:basedOn w:val="1"/>
    <w:unhideWhenUsed/>
    <w:qFormat/>
    <w:uiPriority w:val="99"/>
    <w:pPr>
      <w:spacing w:after="120"/>
      <w:ind w:left="1080"/>
      <w:contextualSpacing/>
    </w:pPr>
  </w:style>
  <w:style w:type="paragraph" w:styleId="34">
    <w:name w:val="Title"/>
    <w:basedOn w:val="1"/>
    <w:next w:val="1"/>
    <w:link w:val="145"/>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paragraph" w:customStyle="1" w:styleId="138">
    <w:name w:val="首行缩进"/>
    <w:basedOn w:val="1"/>
    <w:qFormat/>
    <w:uiPriority w:val="0"/>
    <w:pPr>
      <w:ind w:firstLine="480" w:firstLineChars="200"/>
    </w:pPr>
    <w:rPr>
      <w:lang w:val="zh-CN"/>
    </w:rPr>
  </w:style>
  <w:style w:type="character" w:customStyle="1" w:styleId="139">
    <w:name w:val="Header Char"/>
    <w:basedOn w:val="135"/>
    <w:link w:val="27"/>
    <w:qFormat/>
    <w:uiPriority w:val="99"/>
  </w:style>
  <w:style w:type="character" w:customStyle="1" w:styleId="140">
    <w:name w:val="Footer Char"/>
    <w:basedOn w:val="135"/>
    <w:link w:val="26"/>
    <w:qFormat/>
    <w:uiPriority w:val="99"/>
  </w:style>
  <w:style w:type="paragraph" w:customStyle="1" w:styleId="141">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2">
    <w:name w:val="Heading 1 Char"/>
    <w:basedOn w:val="135"/>
    <w:link w:val="4"/>
    <w:qFormat/>
    <w:uiPriority w:val="9"/>
    <w:rPr>
      <w:rFonts w:asciiTheme="majorHAnsi" w:hAnsiTheme="majorHAnsi" w:eastAsiaTheme="majorEastAsia" w:cstheme="majorBidi"/>
      <w:b/>
      <w:bCs/>
      <w:color w:val="376092" w:themeColor="accent1" w:themeShade="BF"/>
      <w:sz w:val="28"/>
      <w:szCs w:val="28"/>
    </w:rPr>
  </w:style>
  <w:style w:type="character" w:customStyle="1" w:styleId="143">
    <w:name w:val="Heading 2 Char"/>
    <w:basedOn w:val="135"/>
    <w:link w:val="5"/>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4">
    <w:name w:val="Heading 3 Char"/>
    <w:basedOn w:val="135"/>
    <w:link w:val="6"/>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5">
    <w:name w:val="Title Char"/>
    <w:basedOn w:val="135"/>
    <w:link w:val="34"/>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6">
    <w:name w:val="Subtitle Char"/>
    <w:basedOn w:val="135"/>
    <w:link w:val="2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customStyle="1" w:styleId="147">
    <w:name w:val="List Paragraph"/>
    <w:basedOn w:val="1"/>
    <w:qFormat/>
    <w:uiPriority w:val="34"/>
    <w:pPr>
      <w:ind w:left="720"/>
      <w:contextualSpacing/>
    </w:pPr>
  </w:style>
  <w:style w:type="character" w:customStyle="1" w:styleId="148">
    <w:name w:val="Body Text Char"/>
    <w:basedOn w:val="135"/>
    <w:link w:val="2"/>
    <w:qFormat/>
    <w:uiPriority w:val="99"/>
  </w:style>
  <w:style w:type="character" w:customStyle="1" w:styleId="149">
    <w:name w:val="Body Text 2 Char"/>
    <w:basedOn w:val="135"/>
    <w:link w:val="30"/>
    <w:qFormat/>
    <w:uiPriority w:val="99"/>
  </w:style>
  <w:style w:type="character" w:customStyle="1" w:styleId="150">
    <w:name w:val="Body Text 3 Char"/>
    <w:basedOn w:val="135"/>
    <w:link w:val="20"/>
    <w:qFormat/>
    <w:uiPriority w:val="99"/>
    <w:rPr>
      <w:sz w:val="16"/>
      <w:szCs w:val="16"/>
    </w:rPr>
  </w:style>
  <w:style w:type="character" w:customStyle="1" w:styleId="151">
    <w:name w:val="Macro Text Char"/>
    <w:basedOn w:val="135"/>
    <w:link w:val="3"/>
    <w:qFormat/>
    <w:uiPriority w:val="99"/>
    <w:rPr>
      <w:rFonts w:ascii="Courier" w:hAnsi="Courier"/>
      <w:sz w:val="20"/>
      <w:szCs w:val="20"/>
    </w:rPr>
  </w:style>
  <w:style w:type="paragraph" w:customStyle="1" w:styleId="152">
    <w:name w:val="Quote"/>
    <w:basedOn w:val="1"/>
    <w:next w:val="1"/>
    <w:link w:val="153"/>
    <w:qFormat/>
    <w:uiPriority w:val="29"/>
    <w:rPr>
      <w:i/>
      <w:iCs/>
      <w:color w:val="000000" w:themeColor="text1"/>
      <w14:textFill>
        <w14:solidFill>
          <w14:schemeClr w14:val="tx1"/>
        </w14:solidFill>
      </w14:textFill>
    </w:rPr>
  </w:style>
  <w:style w:type="character" w:customStyle="1" w:styleId="153">
    <w:name w:val="Quote Char"/>
    <w:basedOn w:val="135"/>
    <w:link w:val="152"/>
    <w:qFormat/>
    <w:uiPriority w:val="29"/>
    <w:rPr>
      <w:i/>
      <w:iCs/>
      <w:color w:val="000000" w:themeColor="text1"/>
      <w14:textFill>
        <w14:solidFill>
          <w14:schemeClr w14:val="tx1"/>
        </w14:solidFill>
      </w14:textFill>
    </w:rPr>
  </w:style>
  <w:style w:type="character" w:customStyle="1" w:styleId="154">
    <w:name w:val="Heading 4 Char"/>
    <w:basedOn w:val="135"/>
    <w:link w:val="7"/>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5">
    <w:name w:val="Heading 5 Char"/>
    <w:basedOn w:val="135"/>
    <w:link w:val="8"/>
    <w:semiHidden/>
    <w:qFormat/>
    <w:uiPriority w:val="9"/>
    <w:rPr>
      <w:rFonts w:asciiTheme="majorHAnsi" w:hAnsiTheme="majorHAnsi" w:eastAsiaTheme="majorEastAsia" w:cstheme="majorBidi"/>
      <w:color w:val="254061" w:themeColor="accent1" w:themeShade="80"/>
    </w:rPr>
  </w:style>
  <w:style w:type="character" w:customStyle="1" w:styleId="156">
    <w:name w:val="Heading 6 Char"/>
    <w:basedOn w:val="135"/>
    <w:link w:val="9"/>
    <w:semiHidden/>
    <w:qFormat/>
    <w:uiPriority w:val="9"/>
    <w:rPr>
      <w:rFonts w:asciiTheme="majorHAnsi" w:hAnsiTheme="majorHAnsi" w:eastAsiaTheme="majorEastAsia" w:cstheme="majorBidi"/>
      <w:i/>
      <w:iCs/>
      <w:color w:val="254061" w:themeColor="accent1" w:themeShade="80"/>
    </w:rPr>
  </w:style>
  <w:style w:type="character" w:customStyle="1" w:styleId="157">
    <w:name w:val="Heading 7 Char"/>
    <w:basedOn w:val="135"/>
    <w:link w:val="10"/>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8">
    <w:name w:val="Heading 8 Char"/>
    <w:basedOn w:val="135"/>
    <w:link w:val="11"/>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9">
    <w:name w:val="Heading 9 Char"/>
    <w:basedOn w:val="135"/>
    <w:link w:val="12"/>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customStyle="1" w:styleId="160">
    <w:name w:val="Intense Quote"/>
    <w:basedOn w:val="1"/>
    <w:next w:val="1"/>
    <w:link w:val="161"/>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1">
    <w:name w:val="Intense Quote Char"/>
    <w:basedOn w:val="135"/>
    <w:link w:val="160"/>
    <w:qFormat/>
    <w:uiPriority w:val="30"/>
    <w:rPr>
      <w:b/>
      <w:bCs/>
      <w:i/>
      <w:iCs/>
      <w:color w:val="4F81BD" w:themeColor="accent1"/>
      <w14:textFill>
        <w14:solidFill>
          <w14:schemeClr w14:val="accent1"/>
        </w14:solidFill>
      </w14:textFill>
    </w:rPr>
  </w:style>
  <w:style w:type="character" w:customStyle="1" w:styleId="162">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3">
    <w:name w:val="Intense Emphasis"/>
    <w:basedOn w:val="135"/>
    <w:qFormat/>
    <w:uiPriority w:val="21"/>
    <w:rPr>
      <w:b/>
      <w:bCs/>
      <w:i/>
      <w:iCs/>
      <w:color w:val="4F81BD" w:themeColor="accent1"/>
      <w14:textFill>
        <w14:solidFill>
          <w14:schemeClr w14:val="accent1"/>
        </w14:solidFill>
      </w14:textFill>
    </w:rPr>
  </w:style>
  <w:style w:type="character" w:customStyle="1" w:styleId="164">
    <w:name w:val="Subtle Reference"/>
    <w:basedOn w:val="135"/>
    <w:qFormat/>
    <w:uiPriority w:val="31"/>
    <w:rPr>
      <w:smallCaps/>
      <w:color w:val="C0504D" w:themeColor="accent2"/>
      <w:u w:val="single"/>
      <w14:textFill>
        <w14:solidFill>
          <w14:schemeClr w14:val="accent2"/>
        </w14:solidFill>
      </w14:textFill>
    </w:rPr>
  </w:style>
  <w:style w:type="character" w:customStyle="1" w:styleId="165">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6">
    <w:name w:val="Book Title"/>
    <w:basedOn w:val="135"/>
    <w:qFormat/>
    <w:uiPriority w:val="33"/>
    <w:rPr>
      <w:b/>
      <w:bCs/>
      <w:smallCaps/>
      <w:spacing w:val="5"/>
    </w:rPr>
  </w:style>
  <w:style w:type="paragraph" w:customStyle="1" w:styleId="167">
    <w:name w:val="TOC Heading"/>
    <w:basedOn w:val="4"/>
    <w:next w:val="1"/>
    <w:unhideWhenUsed/>
    <w:qFormat/>
    <w:uiPriority w:val="39"/>
    <w:pPr>
      <w:outlineLvl w:val="9"/>
    </w:pPr>
  </w:style>
  <w:style w:type="character" w:customStyle="1" w:styleId="168">
    <w:name w:val="font31"/>
    <w:basedOn w:val="135"/>
    <w:qFormat/>
    <w:uiPriority w:val="0"/>
    <w:rPr>
      <w:rFonts w:hint="eastAsia" w:ascii="宋体" w:hAnsi="宋体" w:eastAsia="宋体" w:cs="宋体"/>
      <w:color w:val="000000"/>
      <w:sz w:val="22"/>
      <w:szCs w:val="22"/>
      <w:u w:val="none"/>
    </w:rPr>
  </w:style>
  <w:style w:type="character" w:customStyle="1" w:styleId="169">
    <w:name w:val="font01"/>
    <w:basedOn w:val="135"/>
    <w:qFormat/>
    <w:uiPriority w:val="0"/>
    <w:rPr>
      <w:rFonts w:hint="default" w:ascii="Calibri" w:hAnsi="Calibri" w:cs="Calibri"/>
      <w:color w:val="000000"/>
      <w:sz w:val="22"/>
      <w:szCs w:val="22"/>
      <w:u w:val="none"/>
    </w:rPr>
  </w:style>
  <w:style w:type="character" w:customStyle="1" w:styleId="170">
    <w:name w:val="font21"/>
    <w:basedOn w:val="135"/>
    <w:qFormat/>
    <w:uiPriority w:val="0"/>
    <w:rPr>
      <w:rFonts w:hint="eastAsia" w:ascii="宋体" w:hAnsi="宋体" w:eastAsia="宋体" w:cs="宋体"/>
      <w:b/>
      <w:bCs/>
      <w:color w:val="000000"/>
      <w:sz w:val="21"/>
      <w:szCs w:val="21"/>
      <w:u w:val="none"/>
    </w:rPr>
  </w:style>
  <w:style w:type="character" w:customStyle="1" w:styleId="171">
    <w:name w:val="font11"/>
    <w:basedOn w:val="135"/>
    <w:qFormat/>
    <w:uiPriority w:val="0"/>
    <w:rPr>
      <w:rFonts w:ascii="Calibri" w:hAnsi="Calibri" w:cs="Calibri"/>
      <w:color w:val="000000"/>
      <w:sz w:val="22"/>
      <w:szCs w:val="22"/>
      <w:u w:val="none"/>
    </w:rPr>
  </w:style>
  <w:style w:type="character" w:customStyle="1" w:styleId="172">
    <w:name w:val="font41"/>
    <w:basedOn w:val="13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11316</Words>
  <Characters>11798</Characters>
  <Lines>0</Lines>
  <Paragraphs>0</Paragraphs>
  <TotalTime>8</TotalTime>
  <ScaleCrop>false</ScaleCrop>
  <LinksUpToDate>false</LinksUpToDate>
  <CharactersWithSpaces>11927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python-docx</dc:creator>
  <dc:description>generated by python-docx</dc:description>
  <cp:lastModifiedBy>呵呵呵呵</cp:lastModifiedBy>
  <cp:lastPrinted>2022-08-31T03:28:00Z</cp:lastPrinted>
  <dcterms:modified xsi:type="dcterms:W3CDTF">2022-10-12T07:26:47Z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0C71EBE04AB74238BEA60FC10FBF6190</vt:lpwstr>
  </property>
</Properties>
</file>