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Arial" w:hAnsi="Arial" w:eastAsia="Arial" w:cs="Arial"/>
          <w:sz w:val="21"/>
          <w:szCs w:val="21"/>
        </w:rPr>
        <w:id w:val="1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32"/>
          <w:szCs w:val="32"/>
        </w:rPr>
      </w:sdtEndPr>
      <w:sdtContent>
        <w:p>
          <w:pPr>
            <w:spacing w:before="297" w:line="221" w:lineRule="auto"/>
            <w:ind w:left="3761"/>
            <w:rPr>
              <w:rFonts w:ascii="宋体" w:hAnsi="宋体" w:eastAsia="宋体" w:cs="宋体"/>
              <w:sz w:val="43"/>
              <w:szCs w:val="43"/>
            </w:rPr>
          </w:pPr>
          <w:bookmarkStart w:id="0" w:name="bookmark1"/>
          <w:bookmarkEnd w:id="0"/>
          <w:r>
            <w:rPr>
              <w:rFonts w:ascii="宋体" w:hAnsi="宋体" w:eastAsia="宋体" w:cs="宋体"/>
              <w:b/>
              <w:bCs/>
              <w:spacing w:val="-54"/>
              <w:sz w:val="43"/>
              <w:szCs w:val="43"/>
            </w:rPr>
            <w:t>目</w:t>
          </w:r>
          <w:r>
            <w:rPr>
              <w:rFonts w:ascii="宋体" w:hAnsi="宋体" w:eastAsia="宋体" w:cs="宋体"/>
              <w:spacing w:val="4"/>
              <w:sz w:val="43"/>
              <w:szCs w:val="43"/>
            </w:rPr>
            <w:t xml:space="preserve">    </w:t>
          </w:r>
          <w:r>
            <w:rPr>
              <w:rFonts w:ascii="宋体" w:hAnsi="宋体" w:eastAsia="宋体" w:cs="宋体"/>
              <w:b/>
              <w:bCs/>
              <w:spacing w:val="-54"/>
              <w:sz w:val="43"/>
              <w:szCs w:val="43"/>
            </w:rPr>
            <w:t>录</w:t>
          </w:r>
        </w:p>
        <w:p>
          <w:pPr>
            <w:spacing w:line="298" w:lineRule="auto"/>
            <w:rPr>
              <w:rFonts w:ascii="Arial"/>
              <w:sz w:val="21"/>
            </w:rPr>
          </w:pPr>
        </w:p>
        <w:p>
          <w:pPr>
            <w:spacing w:line="298" w:lineRule="auto"/>
            <w:rPr>
              <w:rFonts w:ascii="Arial"/>
              <w:sz w:val="21"/>
            </w:rPr>
          </w:pPr>
        </w:p>
        <w:p>
          <w:pPr>
            <w:tabs>
              <w:tab w:val="right" w:leader="dot" w:pos="8897"/>
            </w:tabs>
            <w:spacing w:before="104" w:line="222" w:lineRule="auto"/>
            <w:ind w:left="89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1" w:name="bookmark2"/>
          <w:bookmarkEnd w:id="1"/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spacing w:val="-18"/>
              <w:sz w:val="32"/>
              <w:szCs w:val="32"/>
            </w:rPr>
            <w:t>一</w:t>
          </w:r>
          <w:r>
            <w:rPr>
              <w:rFonts w:ascii="黑体" w:hAnsi="黑体" w:eastAsia="黑体" w:cs="黑体"/>
              <w:spacing w:val="-67"/>
              <w:sz w:val="32"/>
              <w:szCs w:val="32"/>
            </w:rPr>
            <w:t xml:space="preserve"> </w:t>
          </w:r>
          <w:r>
            <w:rPr>
              <w:rFonts w:ascii="黑体" w:hAnsi="黑体" w:eastAsia="黑体" w:cs="黑体"/>
              <w:b/>
              <w:bCs/>
              <w:spacing w:val="-18"/>
              <w:sz w:val="32"/>
              <w:szCs w:val="32"/>
            </w:rPr>
            <w:t>、</w:t>
          </w:r>
          <w:r>
            <w:rPr>
              <w:rFonts w:ascii="黑体" w:hAnsi="黑体" w:eastAsia="黑体" w:cs="黑体"/>
              <w:spacing w:val="-45"/>
              <w:sz w:val="32"/>
              <w:szCs w:val="32"/>
            </w:rPr>
            <w:t xml:space="preserve"> </w:t>
          </w:r>
          <w:r>
            <w:rPr>
              <w:rFonts w:ascii="黑体" w:hAnsi="黑体" w:eastAsia="黑体" w:cs="黑体"/>
              <w:b/>
              <w:bCs/>
              <w:spacing w:val="-18"/>
              <w:sz w:val="32"/>
              <w:szCs w:val="32"/>
            </w:rPr>
            <w:t>项目支出基本情况</w:t>
          </w:r>
          <w:r>
            <w:rPr>
              <w:rFonts w:ascii="黑体" w:hAnsi="黑体" w:eastAsia="黑体" w:cs="黑体"/>
              <w:spacing w:val="-138"/>
              <w:sz w:val="32"/>
              <w:szCs w:val="32"/>
            </w:rPr>
            <w:t xml:space="preserve"> </w:t>
          </w:r>
          <w:r>
            <w:rPr>
              <w:rFonts w:ascii="黑体" w:hAnsi="黑体" w:eastAsia="黑体" w:cs="黑体"/>
              <w:sz w:val="32"/>
              <w:szCs w:val="32"/>
            </w:rPr>
            <w:tab/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t>1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fldChar w:fldCharType="end"/>
          </w:r>
        </w:p>
        <w:p>
          <w:pPr>
            <w:pStyle w:val="2"/>
            <w:tabs>
              <w:tab w:val="right" w:leader="dot" w:pos="8937"/>
            </w:tabs>
            <w:spacing w:before="213" w:line="232" w:lineRule="auto"/>
            <w:ind w:left="480"/>
            <w:rPr>
              <w:rFonts w:ascii="Times New Roman" w:hAnsi="Times New Roman" w:eastAsia="Times New Roman" w:cs="Times New Roman"/>
            </w:rPr>
          </w:pPr>
          <w:bookmarkStart w:id="2" w:name="bookmark3"/>
          <w:bookmarkEnd w:id="2"/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b/>
              <w:bCs/>
              <w:spacing w:val="-12"/>
            </w:rPr>
            <w:t>(</w:t>
          </w:r>
          <w:r>
            <w:rPr>
              <w:spacing w:val="-68"/>
            </w:rPr>
            <w:t xml:space="preserve"> </w:t>
          </w:r>
          <w:r>
            <w:rPr>
              <w:b/>
              <w:bCs/>
              <w:spacing w:val="-12"/>
            </w:rPr>
            <w:t>一</w:t>
          </w:r>
          <w:r>
            <w:rPr>
              <w:spacing w:val="-78"/>
            </w:rPr>
            <w:t xml:space="preserve"> </w:t>
          </w:r>
          <w:r>
            <w:rPr>
              <w:b/>
              <w:bCs/>
              <w:spacing w:val="-12"/>
            </w:rPr>
            <w:t>)</w:t>
          </w:r>
          <w:r>
            <w:rPr>
              <w:spacing w:val="63"/>
            </w:rPr>
            <w:t xml:space="preserve"> </w:t>
          </w:r>
          <w:r>
            <w:rPr>
              <w:b/>
              <w:bCs/>
              <w:spacing w:val="-12"/>
            </w:rPr>
            <w:t>项目支出概况</w:t>
          </w:r>
          <w:r>
            <w:rPr>
              <w:spacing w:val="-145"/>
            </w:rPr>
            <w:t xml:space="preserve"> </w:t>
          </w:r>
          <w:r>
            <w:tab/>
          </w:r>
          <w:r>
            <w:rPr>
              <w:spacing w:val="-74"/>
            </w:rPr>
            <w:t xml:space="preserve"> </w:t>
          </w:r>
          <w:r>
            <w:rPr>
              <w:rFonts w:ascii="Times New Roman" w:hAnsi="Times New Roman" w:eastAsia="Times New Roman" w:cs="Times New Roman"/>
            </w:rPr>
            <w:t>1</w:t>
          </w:r>
          <w:r>
            <w:rPr>
              <w:rFonts w:ascii="Times New Roman" w:hAnsi="Times New Roman" w:eastAsia="Times New Roman" w:cs="Times New Roman"/>
            </w:rPr>
            <w:fldChar w:fldCharType="end"/>
          </w:r>
        </w:p>
        <w:p>
          <w:pPr>
            <w:tabs>
              <w:tab w:val="right" w:leader="dot" w:pos="8897"/>
            </w:tabs>
            <w:spacing w:before="174" w:line="222" w:lineRule="auto"/>
            <w:ind w:left="675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3" w:name="bookmark4"/>
          <w:bookmarkEnd w:id="3"/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15"/>
              <w:sz w:val="32"/>
              <w:szCs w:val="32"/>
            </w:rPr>
            <w:t>1</w:t>
          </w:r>
          <w:r>
            <w:rPr>
              <w:rFonts w:ascii="宋体" w:hAnsi="宋体" w:eastAsia="宋体" w:cs="宋体"/>
              <w:spacing w:val="-15"/>
              <w:sz w:val="32"/>
              <w:szCs w:val="32"/>
            </w:rPr>
            <w:t>、</w:t>
          </w:r>
          <w:r>
            <w:rPr>
              <w:rFonts w:ascii="仿宋" w:hAnsi="仿宋" w:eastAsia="仿宋" w:cs="仿宋"/>
              <w:spacing w:val="-15"/>
              <w:sz w:val="32"/>
              <w:szCs w:val="32"/>
            </w:rPr>
            <w:t>项目基本情况</w:t>
          </w:r>
          <w:r>
            <w:rPr>
              <w:rFonts w:ascii="仿宋" w:hAnsi="仿宋" w:eastAsia="仿宋" w:cs="仿宋"/>
              <w:sz w:val="32"/>
              <w:szCs w:val="32"/>
            </w:rPr>
            <w:tab/>
          </w:r>
          <w:r>
            <w:rPr>
              <w:rFonts w:ascii="仿宋" w:hAnsi="仿宋" w:eastAsia="仿宋" w:cs="仿宋"/>
              <w:spacing w:val="-74"/>
              <w:sz w:val="32"/>
              <w:szCs w:val="32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t>1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fldChar w:fldCharType="end"/>
          </w:r>
        </w:p>
        <w:p>
          <w:pPr>
            <w:tabs>
              <w:tab w:val="right" w:leader="dot" w:pos="8892"/>
            </w:tabs>
            <w:spacing w:before="191" w:line="221" w:lineRule="auto"/>
            <w:ind w:left="675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4" w:name="bookmark5"/>
          <w:bookmarkEnd w:id="4"/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10"/>
              <w:sz w:val="32"/>
              <w:szCs w:val="32"/>
            </w:rPr>
            <w:t>2</w:t>
          </w:r>
          <w:r>
            <w:rPr>
              <w:rFonts w:ascii="宋体" w:hAnsi="宋体" w:eastAsia="宋体" w:cs="宋体"/>
              <w:spacing w:val="-10"/>
              <w:sz w:val="32"/>
              <w:szCs w:val="32"/>
            </w:rPr>
            <w:t>、</w:t>
          </w:r>
          <w:r>
            <w:rPr>
              <w:rFonts w:ascii="仿宋" w:hAnsi="仿宋" w:eastAsia="仿宋" w:cs="仿宋"/>
              <w:spacing w:val="-10"/>
              <w:sz w:val="32"/>
              <w:szCs w:val="32"/>
            </w:rPr>
            <w:t>项目单位情况</w:t>
          </w:r>
          <w:r>
            <w:rPr>
              <w:rFonts w:ascii="仿宋" w:hAnsi="仿宋" w:eastAsia="仿宋" w:cs="仿宋"/>
              <w:sz w:val="32"/>
              <w:szCs w:val="32"/>
            </w:rPr>
            <w:tab/>
          </w:r>
          <w:r>
            <w:rPr>
              <w:rFonts w:ascii="Times New Roman" w:hAnsi="Times New Roman" w:eastAsia="Times New Roman" w:cs="Times New Roman"/>
              <w:spacing w:val="3"/>
              <w:sz w:val="32"/>
              <w:szCs w:val="32"/>
            </w:rPr>
            <w:t>3</w:t>
          </w:r>
          <w:r>
            <w:rPr>
              <w:rFonts w:ascii="Times New Roman" w:hAnsi="Times New Roman" w:eastAsia="Times New Roman" w:cs="Times New Roman"/>
              <w:spacing w:val="3"/>
              <w:sz w:val="32"/>
              <w:szCs w:val="32"/>
            </w:rPr>
            <w:fldChar w:fldCharType="end"/>
          </w:r>
        </w:p>
        <w:p>
          <w:pPr>
            <w:tabs>
              <w:tab w:val="right" w:leader="dot" w:pos="8922"/>
            </w:tabs>
            <w:spacing w:before="207" w:line="221" w:lineRule="auto"/>
            <w:ind w:left="675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5" w:name="bookmark6"/>
          <w:bookmarkEnd w:id="5"/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16"/>
              <w:sz w:val="32"/>
              <w:szCs w:val="32"/>
            </w:rPr>
            <w:t>3</w:t>
          </w:r>
          <w:r>
            <w:rPr>
              <w:rFonts w:ascii="Times New Roman" w:hAnsi="Times New Roman" w:eastAsia="Times New Roman" w:cs="Times New Roman"/>
              <w:spacing w:val="-44"/>
              <w:sz w:val="32"/>
              <w:szCs w:val="32"/>
            </w:rPr>
            <w:t xml:space="preserve"> </w:t>
          </w:r>
          <w:r>
            <w:rPr>
              <w:rFonts w:ascii="宋体" w:hAnsi="宋体" w:eastAsia="宋体" w:cs="宋体"/>
              <w:spacing w:val="-16"/>
              <w:sz w:val="32"/>
              <w:szCs w:val="32"/>
            </w:rPr>
            <w:t>、</w:t>
          </w:r>
          <w:r>
            <w:rPr>
              <w:rFonts w:ascii="仿宋" w:hAnsi="仿宋" w:eastAsia="仿宋" w:cs="仿宋"/>
              <w:spacing w:val="-16"/>
              <w:sz w:val="32"/>
              <w:szCs w:val="32"/>
            </w:rPr>
            <w:t>主要参建单位和监理单位</w:t>
          </w:r>
          <w:r>
            <w:rPr>
              <w:rFonts w:ascii="仿宋" w:hAnsi="仿宋" w:eastAsia="仿宋" w:cs="仿宋"/>
              <w:spacing w:val="-149"/>
              <w:sz w:val="32"/>
              <w:szCs w:val="32"/>
            </w:rPr>
            <w:t xml:space="preserve"> </w:t>
          </w:r>
          <w:r>
            <w:rPr>
              <w:rFonts w:ascii="仿宋" w:hAnsi="仿宋" w:eastAsia="仿宋" w:cs="仿宋"/>
              <w:sz w:val="32"/>
              <w:szCs w:val="32"/>
            </w:rPr>
            <w:tab/>
          </w:r>
          <w:r>
            <w:rPr>
              <w:rFonts w:ascii="仿宋" w:hAnsi="仿宋" w:eastAsia="仿宋" w:cs="仿宋"/>
              <w:spacing w:val="-24"/>
              <w:sz w:val="32"/>
              <w:szCs w:val="32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t>3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fldChar w:fldCharType="end"/>
          </w:r>
        </w:p>
        <w:p>
          <w:pPr>
            <w:pStyle w:val="2"/>
            <w:tabs>
              <w:tab w:val="right" w:leader="dot" w:pos="8920"/>
            </w:tabs>
            <w:spacing w:before="190" w:line="223" w:lineRule="auto"/>
            <w:ind w:left="480"/>
            <w:rPr>
              <w:rFonts w:ascii="Times New Roman" w:hAnsi="Times New Roman" w:eastAsia="Times New Roman" w:cs="Times New Roman"/>
            </w:rPr>
          </w:pPr>
          <w:bookmarkStart w:id="6" w:name="bookmark7"/>
          <w:bookmarkEnd w:id="6"/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b/>
              <w:bCs/>
              <w:spacing w:val="-13"/>
            </w:rPr>
            <w:t>(</w:t>
          </w:r>
          <w:r>
            <w:rPr>
              <w:spacing w:val="-68"/>
            </w:rPr>
            <w:t xml:space="preserve"> </w:t>
          </w:r>
          <w:r>
            <w:rPr>
              <w:b/>
              <w:bCs/>
              <w:spacing w:val="-13"/>
            </w:rPr>
            <w:t>二</w:t>
          </w:r>
          <w:r>
            <w:rPr>
              <w:spacing w:val="-78"/>
            </w:rPr>
            <w:t xml:space="preserve"> </w:t>
          </w:r>
          <w:r>
            <w:rPr>
              <w:b/>
              <w:bCs/>
              <w:spacing w:val="-13"/>
            </w:rPr>
            <w:t>)项目资金使用管理情况</w:t>
          </w:r>
          <w:r>
            <w:rPr>
              <w:spacing w:val="-145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</w:rPr>
            <w:t>4</w:t>
          </w:r>
          <w:r>
            <w:rPr>
              <w:rFonts w:ascii="Times New Roman" w:hAnsi="Times New Roman" w:eastAsia="Times New Roman" w:cs="Times New Roman"/>
            </w:rPr>
            <w:fldChar w:fldCharType="end"/>
          </w:r>
        </w:p>
        <w:p>
          <w:pPr>
            <w:tabs>
              <w:tab w:val="right" w:leader="dot" w:pos="8925"/>
            </w:tabs>
            <w:spacing w:before="202" w:line="222" w:lineRule="auto"/>
            <w:ind w:left="675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7" w:name="bookmark8"/>
          <w:bookmarkEnd w:id="7"/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24"/>
              <w:sz w:val="32"/>
              <w:szCs w:val="32"/>
            </w:rPr>
            <w:t>1</w:t>
          </w:r>
          <w:r>
            <w:rPr>
              <w:rFonts w:ascii="宋体" w:hAnsi="宋体" w:eastAsia="宋体" w:cs="宋体"/>
              <w:spacing w:val="-24"/>
              <w:sz w:val="32"/>
              <w:szCs w:val="32"/>
            </w:rPr>
            <w:t>、</w:t>
          </w:r>
          <w:r>
            <w:rPr>
              <w:rFonts w:ascii="仿宋" w:hAnsi="仿宋" w:eastAsia="仿宋" w:cs="仿宋"/>
              <w:spacing w:val="-24"/>
              <w:sz w:val="32"/>
              <w:szCs w:val="32"/>
            </w:rPr>
            <w:t>项目资金制度建设</w:t>
          </w:r>
          <w:r>
            <w:rPr>
              <w:rFonts w:ascii="仿宋" w:hAnsi="仿宋" w:eastAsia="仿宋" w:cs="仿宋"/>
              <w:sz w:val="32"/>
              <w:szCs w:val="32"/>
            </w:rPr>
            <w:tab/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t>7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fldChar w:fldCharType="end"/>
          </w:r>
        </w:p>
        <w:p>
          <w:pPr>
            <w:tabs>
              <w:tab w:val="right" w:leader="dot" w:pos="8925"/>
            </w:tabs>
            <w:spacing w:before="187" w:line="222" w:lineRule="auto"/>
            <w:ind w:left="675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8" w:name="bookmark9"/>
          <w:bookmarkEnd w:id="8"/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12"/>
              <w:sz w:val="32"/>
              <w:szCs w:val="32"/>
            </w:rPr>
            <w:t>2</w:t>
          </w:r>
          <w:r>
            <w:rPr>
              <w:rFonts w:ascii="宋体" w:hAnsi="宋体" w:eastAsia="宋体" w:cs="宋体"/>
              <w:spacing w:val="-12"/>
              <w:sz w:val="32"/>
              <w:szCs w:val="32"/>
            </w:rPr>
            <w:t>、</w:t>
          </w:r>
          <w:r>
            <w:rPr>
              <w:rFonts w:ascii="仿宋" w:hAnsi="仿宋" w:eastAsia="仿宋" w:cs="仿宋"/>
              <w:spacing w:val="-12"/>
              <w:sz w:val="32"/>
              <w:szCs w:val="32"/>
            </w:rPr>
            <w:t>项目资金拨付情况</w:t>
          </w:r>
          <w:r>
            <w:rPr>
              <w:rFonts w:ascii="仿宋" w:hAnsi="仿宋" w:eastAsia="仿宋" w:cs="仿宋"/>
              <w:sz w:val="32"/>
              <w:szCs w:val="32"/>
            </w:rPr>
            <w:tab/>
          </w:r>
          <w:r>
            <w:rPr>
              <w:rFonts w:ascii="仿宋" w:hAnsi="仿宋" w:eastAsia="仿宋" w:cs="仿宋"/>
              <w:spacing w:val="-44"/>
              <w:sz w:val="32"/>
              <w:szCs w:val="32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t>7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fldChar w:fldCharType="end"/>
          </w:r>
        </w:p>
        <w:p>
          <w:pPr>
            <w:tabs>
              <w:tab w:val="right" w:leader="dot" w:pos="8922"/>
            </w:tabs>
            <w:spacing w:before="172" w:line="212" w:lineRule="auto"/>
            <w:ind w:left="835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9" w:name="bookmark10"/>
          <w:bookmarkEnd w:id="9"/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4"/>
              <w:sz w:val="32"/>
              <w:szCs w:val="32"/>
            </w:rPr>
            <w:t xml:space="preserve">(1)   </w:t>
          </w:r>
          <w:r>
            <w:rPr>
              <w:rFonts w:ascii="仿宋" w:hAnsi="仿宋" w:eastAsia="仿宋" w:cs="仿宋"/>
              <w:spacing w:val="4"/>
              <w:sz w:val="32"/>
              <w:szCs w:val="32"/>
            </w:rPr>
            <w:t>资金到位情况</w:t>
          </w:r>
          <w:r>
            <w:rPr>
              <w:rFonts w:ascii="仿宋" w:hAnsi="仿宋" w:eastAsia="仿宋" w:cs="仿宋"/>
              <w:sz w:val="32"/>
              <w:szCs w:val="32"/>
            </w:rPr>
            <w:tab/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t>7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fldChar w:fldCharType="end"/>
          </w:r>
        </w:p>
        <w:p>
          <w:pPr>
            <w:tabs>
              <w:tab w:val="right" w:leader="dot" w:pos="8922"/>
            </w:tabs>
            <w:spacing w:before="222" w:line="212" w:lineRule="auto"/>
            <w:ind w:left="835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10" w:name="bookmark11"/>
          <w:bookmarkEnd w:id="10"/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2"/>
              <w:sz w:val="32"/>
              <w:szCs w:val="32"/>
            </w:rPr>
            <w:t>(2)</w:t>
          </w:r>
          <w:r>
            <w:rPr>
              <w:rFonts w:ascii="Times New Roman" w:hAnsi="Times New Roman" w:eastAsia="Times New Roman" w:cs="Times New Roman"/>
              <w:spacing w:val="13"/>
              <w:sz w:val="32"/>
              <w:szCs w:val="32"/>
            </w:rPr>
            <w:t xml:space="preserve">   </w:t>
          </w:r>
          <w:r>
            <w:rPr>
              <w:rFonts w:ascii="仿宋" w:hAnsi="仿宋" w:eastAsia="仿宋" w:cs="仿宋"/>
              <w:spacing w:val="2"/>
              <w:sz w:val="32"/>
              <w:szCs w:val="32"/>
            </w:rPr>
            <w:t>资金使用情况</w:t>
          </w:r>
          <w:r>
            <w:rPr>
              <w:rFonts w:ascii="仿宋" w:hAnsi="仿宋" w:eastAsia="仿宋" w:cs="仿宋"/>
              <w:sz w:val="32"/>
              <w:szCs w:val="32"/>
            </w:rPr>
            <w:tab/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t>7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fldChar w:fldCharType="end"/>
          </w:r>
        </w:p>
        <w:p>
          <w:pPr>
            <w:pStyle w:val="2"/>
            <w:tabs>
              <w:tab w:val="right" w:leader="dot" w:pos="8925"/>
            </w:tabs>
            <w:spacing w:before="216" w:line="223" w:lineRule="auto"/>
            <w:ind w:left="480"/>
            <w:rPr>
              <w:rFonts w:ascii="Times New Roman" w:hAnsi="Times New Roman" w:eastAsia="Times New Roman" w:cs="Times New Roman"/>
            </w:rPr>
          </w:pPr>
          <w:bookmarkStart w:id="11" w:name="bookmark12"/>
          <w:bookmarkEnd w:id="11"/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b/>
              <w:bCs/>
              <w:spacing w:val="-5"/>
            </w:rPr>
            <w:t>(</w:t>
          </w:r>
          <w:r>
            <w:rPr>
              <w:spacing w:val="-75"/>
            </w:rPr>
            <w:t xml:space="preserve"> </w:t>
          </w:r>
          <w:r>
            <w:rPr>
              <w:b/>
              <w:bCs/>
              <w:spacing w:val="-5"/>
            </w:rPr>
            <w:t>三</w:t>
          </w:r>
          <w:r>
            <w:rPr>
              <w:spacing w:val="-78"/>
            </w:rPr>
            <w:t xml:space="preserve"> </w:t>
          </w:r>
          <w:r>
            <w:rPr>
              <w:b/>
              <w:bCs/>
              <w:spacing w:val="-5"/>
            </w:rPr>
            <w:t>)项目实施管理情况</w:t>
          </w:r>
          <w:r>
            <w:rPr>
              <w:spacing w:val="-145"/>
            </w:rPr>
            <w:t xml:space="preserve"> </w:t>
          </w:r>
          <w:r>
            <w:tab/>
          </w:r>
          <w:r>
            <w:rPr>
              <w:rFonts w:ascii="Times New Roman" w:hAnsi="Times New Roman" w:eastAsia="Times New Roman" w:cs="Times New Roman"/>
            </w:rPr>
            <w:t>7</w:t>
          </w:r>
          <w:r>
            <w:rPr>
              <w:rFonts w:ascii="Times New Roman" w:hAnsi="Times New Roman" w:eastAsia="Times New Roman" w:cs="Times New Roman"/>
            </w:rPr>
            <w:fldChar w:fldCharType="end"/>
          </w:r>
        </w:p>
        <w:p>
          <w:pPr>
            <w:tabs>
              <w:tab w:val="right" w:leader="dot" w:pos="8912"/>
            </w:tabs>
            <w:spacing w:before="192" w:line="222" w:lineRule="auto"/>
            <w:ind w:left="675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12" w:name="bookmark13"/>
          <w:bookmarkEnd w:id="12"/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-1"/>
              <w:sz w:val="32"/>
              <w:szCs w:val="32"/>
            </w:rPr>
            <w:t>1</w:t>
          </w:r>
          <w:r>
            <w:rPr>
              <w:rFonts w:ascii="宋体" w:hAnsi="宋体" w:eastAsia="宋体" w:cs="宋体"/>
              <w:spacing w:val="-1"/>
              <w:sz w:val="32"/>
              <w:szCs w:val="32"/>
            </w:rPr>
            <w:t>、</w:t>
          </w:r>
          <w:r>
            <w:rPr>
              <w:rFonts w:ascii="仿宋" w:hAnsi="仿宋" w:eastAsia="仿宋" w:cs="仿宋"/>
              <w:spacing w:val="-1"/>
              <w:sz w:val="32"/>
              <w:szCs w:val="32"/>
            </w:rPr>
            <w:t>项目管理制度建设</w:t>
          </w:r>
          <w:r>
            <w:rPr>
              <w:rFonts w:ascii="仿宋" w:hAnsi="仿宋" w:eastAsia="仿宋" w:cs="仿宋"/>
              <w:sz w:val="32"/>
              <w:szCs w:val="32"/>
            </w:rPr>
            <w:tab/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t>9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fldChar w:fldCharType="end"/>
          </w:r>
        </w:p>
        <w:p>
          <w:pPr>
            <w:tabs>
              <w:tab w:val="right" w:leader="dot" w:pos="8935"/>
            </w:tabs>
            <w:spacing w:before="187" w:line="222" w:lineRule="auto"/>
            <w:ind w:left="675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13" w:name="bookmark14"/>
          <w:bookmarkEnd w:id="13"/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1"/>
              <w:sz w:val="32"/>
              <w:szCs w:val="32"/>
            </w:rPr>
            <w:t>2</w:t>
          </w:r>
          <w:r>
            <w:rPr>
              <w:rFonts w:ascii="宋体" w:hAnsi="宋体" w:eastAsia="宋体" w:cs="宋体"/>
              <w:spacing w:val="1"/>
              <w:sz w:val="32"/>
              <w:szCs w:val="32"/>
            </w:rPr>
            <w:t>、</w:t>
          </w:r>
          <w:r>
            <w:rPr>
              <w:rFonts w:ascii="仿宋" w:hAnsi="仿宋" w:eastAsia="仿宋" w:cs="仿宋"/>
              <w:spacing w:val="1"/>
              <w:sz w:val="32"/>
              <w:szCs w:val="32"/>
            </w:rPr>
            <w:t>项目组织实施情况</w:t>
          </w:r>
          <w:r>
            <w:rPr>
              <w:rFonts w:ascii="仿宋" w:hAnsi="仿宋" w:eastAsia="仿宋" w:cs="仿宋"/>
              <w:sz w:val="32"/>
              <w:szCs w:val="32"/>
            </w:rPr>
            <w:tab/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t>8</w:t>
          </w:r>
          <w:r>
            <w:rPr>
              <w:rFonts w:ascii="Times New Roman" w:hAnsi="Times New Roman" w:eastAsia="Times New Roman" w:cs="Times New Roman"/>
              <w:sz w:val="32"/>
              <w:szCs w:val="32"/>
            </w:rPr>
            <w:fldChar w:fldCharType="end"/>
          </w:r>
        </w:p>
        <w:p>
          <w:pPr>
            <w:pStyle w:val="2"/>
            <w:tabs>
              <w:tab w:val="right" w:leader="dot" w:pos="8927"/>
            </w:tabs>
            <w:spacing w:before="215" w:line="227" w:lineRule="auto"/>
            <w:ind w:left="475"/>
            <w:rPr>
              <w:rFonts w:ascii="Times New Roman" w:hAnsi="Times New Roman" w:eastAsia="Times New Roman" w:cs="Times New Roman"/>
            </w:rPr>
          </w:pPr>
          <w:bookmarkStart w:id="14" w:name="bookmark15"/>
          <w:bookmarkEnd w:id="14"/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spacing w:val="-3"/>
            </w:rPr>
            <w:t>(</w:t>
          </w:r>
          <w:r>
            <w:rPr>
              <w:spacing w:val="-45"/>
            </w:rPr>
            <w:t xml:space="preserve"> </w:t>
          </w:r>
          <w:r>
            <w:rPr>
              <w:spacing w:val="-3"/>
            </w:rPr>
            <w:t>四</w:t>
          </w:r>
          <w:r>
            <w:rPr>
              <w:spacing w:val="-74"/>
            </w:rPr>
            <w:t xml:space="preserve"> </w:t>
          </w:r>
          <w:r>
            <w:rPr>
              <w:spacing w:val="-3"/>
            </w:rPr>
            <w:t>)绩效目标完成情况</w:t>
          </w:r>
          <w:r>
            <w:tab/>
          </w:r>
          <w:r>
            <w:rPr>
              <w:rFonts w:ascii="Times New Roman" w:hAnsi="Times New Roman" w:eastAsia="Times New Roman" w:cs="Times New Roman"/>
              <w:spacing w:val="-3"/>
            </w:rPr>
            <w:t>10</w:t>
          </w:r>
          <w:r>
            <w:rPr>
              <w:rFonts w:ascii="Times New Roman" w:hAnsi="Times New Roman" w:eastAsia="Times New Roman" w:cs="Times New Roman"/>
              <w:spacing w:val="-3"/>
            </w:rPr>
            <w:fldChar w:fldCharType="end"/>
          </w:r>
        </w:p>
        <w:p>
          <w:pPr>
            <w:tabs>
              <w:tab w:val="right" w:leader="dot" w:pos="8950"/>
            </w:tabs>
            <w:spacing w:before="202" w:line="221" w:lineRule="auto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15" w:name="bookmark16"/>
          <w:bookmarkEnd w:id="15"/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spacing w:val="-1"/>
              <w:sz w:val="32"/>
              <w:szCs w:val="32"/>
            </w:rPr>
            <w:t>二、绩效评价工作情况</w:t>
          </w:r>
          <w:r>
            <w:rPr>
              <w:rFonts w:ascii="黑体" w:hAnsi="黑体" w:eastAsia="黑体" w:cs="黑体"/>
              <w:spacing w:val="-130"/>
              <w:sz w:val="32"/>
              <w:szCs w:val="32"/>
            </w:rPr>
            <w:t xml:space="preserve"> </w:t>
          </w:r>
          <w:r>
            <w:rPr>
              <w:rFonts w:ascii="黑体" w:hAnsi="黑体" w:eastAsia="黑体" w:cs="黑体"/>
              <w:sz w:val="32"/>
              <w:szCs w:val="32"/>
            </w:rPr>
            <w:tab/>
          </w:r>
          <w:r>
            <w:rPr>
              <w:rFonts w:ascii="Times New Roman" w:hAnsi="Times New Roman" w:eastAsia="Times New Roman" w:cs="Times New Roman"/>
              <w:spacing w:val="-8"/>
              <w:sz w:val="32"/>
              <w:szCs w:val="32"/>
            </w:rPr>
            <w:t>11</w:t>
          </w:r>
          <w:r>
            <w:rPr>
              <w:rFonts w:ascii="Times New Roman" w:hAnsi="Times New Roman" w:eastAsia="Times New Roman" w:cs="Times New Roman"/>
              <w:spacing w:val="-8"/>
              <w:sz w:val="32"/>
              <w:szCs w:val="32"/>
            </w:rPr>
            <w:fldChar w:fldCharType="end"/>
          </w:r>
        </w:p>
        <w:p>
          <w:pPr>
            <w:pStyle w:val="2"/>
            <w:tabs>
              <w:tab w:val="right" w:leader="dot" w:pos="8944"/>
            </w:tabs>
            <w:spacing w:before="186" w:line="223" w:lineRule="auto"/>
            <w:ind w:left="475"/>
            <w:rPr>
              <w:rFonts w:ascii="Times New Roman" w:hAnsi="Times New Roman" w:eastAsia="Times New Roman" w:cs="Times New Roman"/>
            </w:rPr>
          </w:pPr>
          <w:bookmarkStart w:id="16" w:name="bookmark17"/>
          <w:bookmarkEnd w:id="16"/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spacing w:val="-3"/>
            </w:rPr>
            <w:t>(</w:t>
          </w:r>
          <w:r>
            <w:rPr>
              <w:spacing w:val="-35"/>
            </w:rPr>
            <w:t xml:space="preserve"> </w:t>
          </w:r>
          <w:r>
            <w:rPr>
              <w:spacing w:val="-3"/>
            </w:rPr>
            <w:t>一</w:t>
          </w:r>
          <w:r>
            <w:rPr>
              <w:spacing w:val="-53"/>
            </w:rPr>
            <w:t xml:space="preserve"> </w:t>
          </w:r>
          <w:r>
            <w:rPr>
              <w:spacing w:val="-3"/>
            </w:rPr>
            <w:t>)绩效评价的主要依据</w:t>
          </w:r>
          <w:r>
            <w:rPr>
              <w:spacing w:val="-148"/>
            </w:rPr>
            <w:t xml:space="preserve"> </w:t>
          </w:r>
          <w:r>
            <w:rPr>
              <w:color w:val="1C4D30"/>
            </w:rPr>
            <w:tab/>
          </w:r>
          <w:r>
            <w:rPr>
              <w:spacing w:val="-74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28"/>
            </w:rPr>
            <w:t>11</w:t>
          </w:r>
          <w:r>
            <w:rPr>
              <w:rFonts w:ascii="Times New Roman" w:hAnsi="Times New Roman" w:eastAsia="Times New Roman" w:cs="Times New Roman"/>
              <w:spacing w:val="-28"/>
            </w:rPr>
            <w:fldChar w:fldCharType="end"/>
          </w:r>
        </w:p>
        <w:p>
          <w:pPr>
            <w:pStyle w:val="2"/>
            <w:tabs>
              <w:tab w:val="right" w:leader="dot" w:pos="8937"/>
            </w:tabs>
            <w:spacing w:before="194" w:line="223" w:lineRule="auto"/>
            <w:ind w:left="475"/>
            <w:rPr>
              <w:rFonts w:ascii="Times New Roman" w:hAnsi="Times New Roman" w:eastAsia="Times New Roman" w:cs="Times New Roman"/>
            </w:rPr>
          </w:pPr>
          <w:bookmarkStart w:id="17" w:name="bookmark18"/>
          <w:bookmarkEnd w:id="17"/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spacing w:val="-12"/>
            </w:rPr>
            <w:t>(</w:t>
          </w:r>
          <w:r>
            <w:rPr>
              <w:spacing w:val="-59"/>
            </w:rPr>
            <w:t xml:space="preserve"> </w:t>
          </w:r>
          <w:r>
            <w:rPr>
              <w:spacing w:val="-12"/>
            </w:rPr>
            <w:t>二</w:t>
          </w:r>
          <w:r>
            <w:rPr>
              <w:spacing w:val="-74"/>
            </w:rPr>
            <w:t xml:space="preserve"> </w:t>
          </w:r>
          <w:r>
            <w:rPr>
              <w:spacing w:val="-12"/>
            </w:rPr>
            <w:t>)绩效评价的主要内容</w:t>
          </w:r>
          <w:r>
            <w:rPr>
              <w:spacing w:val="-135"/>
            </w:rPr>
            <w:t xml:space="preserve"> </w:t>
          </w:r>
          <w:r>
            <w:tab/>
          </w:r>
          <w:r>
            <w:rPr>
              <w:spacing w:val="-14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0"/>
            </w:rPr>
            <w:t>12</w:t>
          </w:r>
          <w:r>
            <w:rPr>
              <w:rFonts w:ascii="Times New Roman" w:hAnsi="Times New Roman" w:eastAsia="Times New Roman" w:cs="Times New Roman"/>
              <w:spacing w:val="-10"/>
            </w:rPr>
            <w:fldChar w:fldCharType="end"/>
          </w:r>
        </w:p>
        <w:p>
          <w:pPr>
            <w:pStyle w:val="2"/>
            <w:tabs>
              <w:tab w:val="right" w:leader="dot" w:pos="8907"/>
            </w:tabs>
            <w:spacing w:before="193" w:line="223" w:lineRule="auto"/>
            <w:ind w:left="475"/>
            <w:rPr>
              <w:rFonts w:ascii="Times New Roman" w:hAnsi="Times New Roman" w:eastAsia="Times New Roman" w:cs="Times New Roman"/>
            </w:rPr>
          </w:pPr>
          <w:bookmarkStart w:id="18" w:name="bookmark19"/>
          <w:bookmarkEnd w:id="18"/>
          <w:r>
            <w:fldChar w:fldCharType="begin"/>
          </w:r>
          <w:r>
            <w:instrText xml:space="preserve"> HYPERLINK \l "bookmark19" </w:instrText>
          </w:r>
          <w:r>
            <w:fldChar w:fldCharType="separate"/>
          </w:r>
          <w:r>
            <w:t>(</w:t>
          </w:r>
          <w:r>
            <w:rPr>
              <w:spacing w:val="-71"/>
            </w:rPr>
            <w:t xml:space="preserve"> </w:t>
          </w:r>
          <w:r>
            <w:t>三</w:t>
          </w:r>
          <w:r>
            <w:rPr>
              <w:spacing w:val="-73"/>
            </w:rPr>
            <w:t xml:space="preserve"> </w:t>
          </w:r>
          <w:r>
            <w:t>)绩效评价指标体系</w:t>
          </w:r>
          <w:r>
            <w:tab/>
          </w:r>
          <w:r>
            <w:rPr>
              <w:rFonts w:ascii="Times New Roman" w:hAnsi="Times New Roman" w:eastAsia="Times New Roman" w:cs="Times New Roman"/>
              <w:spacing w:val="-1"/>
            </w:rPr>
            <w:t>12</w:t>
          </w:r>
          <w:r>
            <w:rPr>
              <w:rFonts w:ascii="Times New Roman" w:hAnsi="Times New Roman" w:eastAsia="Times New Roman" w:cs="Times New Roman"/>
              <w:spacing w:val="-1"/>
            </w:rPr>
            <w:fldChar w:fldCharType="end"/>
          </w:r>
        </w:p>
        <w:p>
          <w:pPr>
            <w:pStyle w:val="2"/>
            <w:tabs>
              <w:tab w:val="right" w:leader="dot" w:pos="8937"/>
            </w:tabs>
            <w:spacing w:before="204" w:line="223" w:lineRule="auto"/>
            <w:ind w:left="475"/>
            <w:rPr>
              <w:rFonts w:ascii="Times New Roman" w:hAnsi="Times New Roman" w:eastAsia="Times New Roman" w:cs="Times New Roman"/>
            </w:rPr>
          </w:pPr>
          <w:bookmarkStart w:id="19" w:name="bookmark20"/>
          <w:bookmarkEnd w:id="19"/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spacing w:val="-4"/>
            </w:rPr>
            <w:t>(</w:t>
          </w:r>
          <w:r>
            <w:rPr>
              <w:spacing w:val="-48"/>
            </w:rPr>
            <w:t xml:space="preserve"> </w:t>
          </w:r>
          <w:r>
            <w:rPr>
              <w:spacing w:val="-4"/>
            </w:rPr>
            <w:t>四</w:t>
          </w:r>
          <w:r>
            <w:rPr>
              <w:spacing w:val="-73"/>
            </w:rPr>
            <w:t xml:space="preserve"> </w:t>
          </w:r>
          <w:r>
            <w:rPr>
              <w:spacing w:val="-4"/>
            </w:rPr>
            <w:t>)绩效评价的主要方法</w:t>
          </w:r>
          <w:r>
            <w:rPr>
              <w:spacing w:val="-143"/>
            </w:rPr>
            <w:t xml:space="preserve"> </w:t>
          </w:r>
          <w:r>
            <w:tab/>
          </w:r>
          <w:r>
            <w:rPr>
              <w:spacing w:val="-114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0"/>
            </w:rPr>
            <w:t>13</w:t>
          </w:r>
          <w:r>
            <w:rPr>
              <w:rFonts w:ascii="Times New Roman" w:hAnsi="Times New Roman" w:eastAsia="Times New Roman" w:cs="Times New Roman"/>
              <w:spacing w:val="-10"/>
            </w:rPr>
            <w:fldChar w:fldCharType="end"/>
          </w:r>
        </w:p>
        <w:p>
          <w:pPr>
            <w:pStyle w:val="2"/>
            <w:tabs>
              <w:tab w:val="right" w:leader="dot" w:pos="8927"/>
            </w:tabs>
            <w:spacing w:before="193" w:line="223" w:lineRule="auto"/>
            <w:ind w:left="475"/>
            <w:rPr>
              <w:rFonts w:ascii="Times New Roman" w:hAnsi="Times New Roman" w:eastAsia="Times New Roman" w:cs="Times New Roman"/>
            </w:rPr>
          </w:pPr>
          <w:bookmarkStart w:id="20" w:name="bookmark21"/>
          <w:bookmarkEnd w:id="20"/>
          <w:r>
            <w:fldChar w:fldCharType="begin"/>
          </w:r>
          <w:r>
            <w:instrText xml:space="preserve"> HYPERLINK \l "bookmark21" </w:instrText>
          </w:r>
          <w:r>
            <w:fldChar w:fldCharType="separate"/>
          </w:r>
          <w:r>
            <w:rPr>
              <w:spacing w:val="-11"/>
            </w:rPr>
            <w:t>(</w:t>
          </w:r>
          <w:r>
            <w:rPr>
              <w:spacing w:val="-62"/>
            </w:rPr>
            <w:t xml:space="preserve"> </w:t>
          </w:r>
          <w:r>
            <w:rPr>
              <w:spacing w:val="-11"/>
            </w:rPr>
            <w:t>五</w:t>
          </w:r>
          <w:r>
            <w:rPr>
              <w:spacing w:val="-73"/>
            </w:rPr>
            <w:t xml:space="preserve"> </w:t>
          </w:r>
          <w:r>
            <w:rPr>
              <w:spacing w:val="-11"/>
            </w:rPr>
            <w:t>)开展项目现场评价</w:t>
          </w:r>
          <w:r>
            <w:rPr>
              <w:spacing w:val="-136"/>
            </w:rPr>
            <w:t xml:space="preserve"> </w:t>
          </w:r>
          <w:r>
            <w:tab/>
          </w:r>
          <w:r>
            <w:rPr>
              <w:spacing w:val="-44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0"/>
            </w:rPr>
            <w:t>13</w:t>
          </w:r>
          <w:r>
            <w:rPr>
              <w:rFonts w:ascii="Times New Roman" w:hAnsi="Times New Roman" w:eastAsia="Times New Roman" w:cs="Times New Roman"/>
              <w:spacing w:val="-10"/>
            </w:rPr>
            <w:fldChar w:fldCharType="end"/>
          </w:r>
        </w:p>
        <w:p>
          <w:pPr>
            <w:tabs>
              <w:tab w:val="right" w:leader="dot" w:pos="8857"/>
            </w:tabs>
            <w:spacing w:before="204" w:line="221" w:lineRule="auto"/>
            <w:rPr>
              <w:rFonts w:ascii="Times New Roman" w:hAnsi="Times New Roman" w:eastAsia="Times New Roman" w:cs="Times New Roman"/>
              <w:sz w:val="32"/>
              <w:szCs w:val="32"/>
            </w:rPr>
          </w:pPr>
          <w:bookmarkStart w:id="21" w:name="bookmark22"/>
          <w:bookmarkEnd w:id="21"/>
          <w:r>
            <w:fldChar w:fldCharType="begin"/>
          </w:r>
          <w:r>
            <w:instrText xml:space="preserve"> HYPERLINK \l "bookmark22"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spacing w:val="-4"/>
              <w:sz w:val="32"/>
              <w:szCs w:val="32"/>
            </w:rPr>
            <w:t>三、项目支出主要绩效及评价结论</w:t>
          </w:r>
          <w:r>
            <w:rPr>
              <w:rFonts w:ascii="黑体" w:hAnsi="黑体" w:eastAsia="黑体" w:cs="黑体"/>
              <w:spacing w:val="-127"/>
              <w:sz w:val="32"/>
              <w:szCs w:val="32"/>
            </w:rPr>
            <w:t xml:space="preserve"> </w:t>
          </w:r>
          <w:r>
            <w:rPr>
              <w:rFonts w:ascii="黑体" w:hAnsi="黑体" w:eastAsia="黑体" w:cs="黑体"/>
              <w:sz w:val="32"/>
              <w:szCs w:val="32"/>
            </w:rPr>
            <w:tab/>
          </w:r>
          <w:r>
            <w:rPr>
              <w:rFonts w:ascii="Times New Roman" w:hAnsi="Times New Roman" w:eastAsia="Times New Roman" w:cs="Times New Roman"/>
              <w:spacing w:val="-11"/>
              <w:sz w:val="32"/>
              <w:szCs w:val="32"/>
            </w:rPr>
            <w:t>14</w:t>
          </w:r>
          <w:r>
            <w:rPr>
              <w:rFonts w:ascii="Times New Roman" w:hAnsi="Times New Roman" w:eastAsia="Times New Roman" w:cs="Times New Roman"/>
              <w:spacing w:val="-11"/>
              <w:sz w:val="32"/>
              <w:szCs w:val="32"/>
            </w:rPr>
            <w:fldChar w:fldCharType="end"/>
          </w:r>
        </w:p>
      </w:sdtContent>
    </w:sdt>
    <w:p>
      <w:pPr>
        <w:spacing w:line="292" w:lineRule="auto"/>
        <w:rPr>
          <w:rFonts w:ascii="Arial"/>
          <w:sz w:val="21"/>
        </w:rPr>
      </w:pPr>
    </w:p>
    <w:p>
      <w:pPr>
        <w:spacing w:line="21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20" w:bottom="0" w:left="1494" w:header="0" w:footer="0" w:gutter="0"/>
          <w:cols w:space="720" w:num="1"/>
        </w:sect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楷体" w:hAnsi="楷体" w:eastAsia="楷体" w:cs="楷体"/>
          <w:sz w:val="31"/>
          <w:szCs w:val="31"/>
        </w:rPr>
        <w:id w:val="2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31"/>
          <w:szCs w:val="31"/>
        </w:rPr>
      </w:sdtEndPr>
      <w:sdtContent>
        <w:p>
          <w:pPr>
            <w:pStyle w:val="2"/>
            <w:tabs>
              <w:tab w:val="right" w:leader="dot" w:pos="8939"/>
            </w:tabs>
            <w:spacing w:before="100" w:line="223" w:lineRule="auto"/>
            <w:ind w:left="205"/>
            <w:rPr>
              <w:rFonts w:ascii="Times New Roman" w:hAnsi="Times New Roman" w:eastAsia="Times New Roman" w:cs="Times New Roman"/>
              <w:sz w:val="31"/>
              <w:szCs w:val="31"/>
            </w:rPr>
          </w:pPr>
          <w:bookmarkStart w:id="22" w:name="bookmark23"/>
          <w:bookmarkEnd w:id="22"/>
          <w:r>
            <w:fldChar w:fldCharType="begin"/>
          </w:r>
          <w:r>
            <w:instrText xml:space="preserve"> HYPERLINK \l "bookmark23" </w:instrText>
          </w:r>
          <w:r>
            <w:fldChar w:fldCharType="separate"/>
          </w:r>
          <w:r>
            <w:rPr>
              <w:sz w:val="31"/>
              <w:szCs w:val="31"/>
            </w:rPr>
            <w:t>(</w:t>
          </w:r>
          <w:r>
            <w:rPr>
              <w:spacing w:val="-57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>二</w:t>
          </w:r>
          <w:r>
            <w:rPr>
              <w:spacing w:val="-66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>)</w:t>
          </w:r>
          <w:r>
            <w:rPr>
              <w:spacing w:val="-89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>绩效评价结论</w:t>
          </w:r>
          <w:r>
            <w:rPr>
              <w:spacing w:val="-130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ab/>
          </w:r>
          <w:r>
            <w:rPr>
              <w:spacing w:val="1"/>
              <w:sz w:val="31"/>
              <w:szCs w:val="31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t>15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929"/>
            </w:tabs>
            <w:spacing w:before="225" w:line="221" w:lineRule="auto"/>
            <w:rPr>
              <w:rFonts w:ascii="Times New Roman" w:hAnsi="Times New Roman" w:eastAsia="Times New Roman" w:cs="Times New Roman"/>
              <w:sz w:val="31"/>
              <w:szCs w:val="31"/>
            </w:rPr>
          </w:pPr>
          <w:bookmarkStart w:id="23" w:name="bookmark24"/>
          <w:bookmarkEnd w:id="23"/>
          <w:r>
            <w:fldChar w:fldCharType="begin"/>
          </w:r>
          <w:r>
            <w:instrText xml:space="preserve"> HYPERLINK \l "bookmark24"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spacing w:val="-4"/>
              <w:sz w:val="31"/>
              <w:szCs w:val="31"/>
            </w:rPr>
            <w:t>四</w:t>
          </w:r>
          <w:r>
            <w:rPr>
              <w:rFonts w:ascii="黑体" w:hAnsi="黑体" w:eastAsia="黑体" w:cs="黑体"/>
              <w:spacing w:val="56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b/>
              <w:bCs/>
              <w:spacing w:val="-4"/>
              <w:sz w:val="31"/>
              <w:szCs w:val="31"/>
            </w:rPr>
            <w:t>、预算绩效评价指标分析</w:t>
          </w:r>
          <w:r>
            <w:rPr>
              <w:rFonts w:ascii="黑体" w:hAnsi="黑体" w:eastAsia="黑体" w:cs="黑体"/>
              <w:spacing w:val="-133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黑体" w:hAnsi="黑体" w:eastAsia="黑体" w:cs="黑体"/>
              <w:spacing w:val="-59"/>
              <w:sz w:val="31"/>
              <w:szCs w:val="31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t>15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fldChar w:fldCharType="end"/>
          </w:r>
        </w:p>
        <w:p>
          <w:pPr>
            <w:pStyle w:val="2"/>
            <w:tabs>
              <w:tab w:val="right" w:leader="dot" w:pos="8909"/>
            </w:tabs>
            <w:spacing w:before="209" w:line="224" w:lineRule="auto"/>
            <w:ind w:left="505"/>
            <w:rPr>
              <w:rFonts w:ascii="Times New Roman" w:hAnsi="Times New Roman" w:eastAsia="Times New Roman" w:cs="Times New Roman"/>
              <w:sz w:val="31"/>
              <w:szCs w:val="31"/>
            </w:rPr>
          </w:pPr>
          <w:bookmarkStart w:id="24" w:name="bookmark25"/>
          <w:bookmarkEnd w:id="24"/>
          <w:r>
            <w:fldChar w:fldCharType="begin"/>
          </w:r>
          <w:r>
            <w:instrText xml:space="preserve"> HYPERLINK \l "bookmark25" </w:instrText>
          </w:r>
          <w:r>
            <w:fldChar w:fldCharType="separate"/>
          </w:r>
          <w:r>
            <w:rPr>
              <w:spacing w:val="1"/>
              <w:sz w:val="31"/>
              <w:szCs w:val="31"/>
            </w:rPr>
            <w:t>(</w:t>
          </w:r>
          <w:r>
            <w:rPr>
              <w:spacing w:val="-44"/>
              <w:sz w:val="31"/>
              <w:szCs w:val="31"/>
            </w:rPr>
            <w:t xml:space="preserve"> </w:t>
          </w:r>
          <w:r>
            <w:rPr>
              <w:spacing w:val="1"/>
              <w:sz w:val="31"/>
              <w:szCs w:val="31"/>
            </w:rPr>
            <w:t>一</w:t>
          </w:r>
          <w:r>
            <w:rPr>
              <w:spacing w:val="-56"/>
              <w:sz w:val="31"/>
              <w:szCs w:val="31"/>
            </w:rPr>
            <w:t xml:space="preserve"> </w:t>
          </w:r>
          <w:r>
            <w:rPr>
              <w:spacing w:val="1"/>
              <w:sz w:val="31"/>
              <w:szCs w:val="31"/>
            </w:rPr>
            <w:t>)</w:t>
          </w:r>
          <w:r>
            <w:rPr>
              <w:spacing w:val="-38"/>
              <w:sz w:val="31"/>
              <w:szCs w:val="31"/>
            </w:rPr>
            <w:t xml:space="preserve"> </w:t>
          </w:r>
          <w:r>
            <w:rPr>
              <w:spacing w:val="1"/>
              <w:sz w:val="31"/>
              <w:szCs w:val="31"/>
            </w:rPr>
            <w:t>项目支出决策情况</w:t>
          </w:r>
          <w:r>
            <w:rPr>
              <w:spacing w:val="-145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ab/>
          </w:r>
          <w:r>
            <w:rPr>
              <w:spacing w:val="-89"/>
              <w:sz w:val="31"/>
              <w:szCs w:val="31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t>15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fldChar w:fldCharType="end"/>
          </w:r>
        </w:p>
        <w:p>
          <w:pPr>
            <w:pStyle w:val="2"/>
            <w:tabs>
              <w:tab w:val="right" w:leader="dot" w:pos="8919"/>
            </w:tabs>
            <w:spacing w:before="178" w:line="227" w:lineRule="auto"/>
            <w:ind w:left="505"/>
            <w:rPr>
              <w:rFonts w:ascii="Times New Roman" w:hAnsi="Times New Roman" w:eastAsia="Times New Roman" w:cs="Times New Roman"/>
              <w:sz w:val="31"/>
              <w:szCs w:val="31"/>
            </w:rPr>
          </w:pPr>
          <w:bookmarkStart w:id="25" w:name="bookmark26"/>
          <w:bookmarkEnd w:id="25"/>
          <w:r>
            <w:fldChar w:fldCharType="begin"/>
          </w:r>
          <w:r>
            <w:instrText xml:space="preserve"> HYPERLINK \l "bookmark26" </w:instrText>
          </w:r>
          <w:r>
            <w:fldChar w:fldCharType="separate"/>
          </w:r>
          <w:r>
            <w:rPr>
              <w:sz w:val="31"/>
              <w:szCs w:val="31"/>
            </w:rPr>
            <w:t>(</w:t>
          </w:r>
          <w:r>
            <w:rPr>
              <w:spacing w:val="-56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>二</w:t>
          </w:r>
          <w:r>
            <w:rPr>
              <w:spacing w:val="-70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>)</w:t>
          </w:r>
          <w:r>
            <w:rPr>
              <w:spacing w:val="79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>项目执行过程情况</w:t>
          </w:r>
          <w:r>
            <w:rPr>
              <w:spacing w:val="-144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-11"/>
              <w:sz w:val="31"/>
              <w:szCs w:val="31"/>
            </w:rPr>
            <w:t>16</w:t>
          </w:r>
          <w:r>
            <w:rPr>
              <w:rFonts w:ascii="Times New Roman" w:hAnsi="Times New Roman" w:eastAsia="Times New Roman" w:cs="Times New Roman"/>
              <w:spacing w:val="-11"/>
              <w:sz w:val="31"/>
              <w:szCs w:val="31"/>
            </w:rPr>
            <w:fldChar w:fldCharType="end"/>
          </w:r>
        </w:p>
        <w:p>
          <w:pPr>
            <w:pStyle w:val="2"/>
            <w:tabs>
              <w:tab w:val="right" w:leader="dot" w:pos="8939"/>
            </w:tabs>
            <w:spacing w:before="203" w:line="223" w:lineRule="auto"/>
            <w:ind w:left="505"/>
            <w:rPr>
              <w:rFonts w:ascii="Times New Roman" w:hAnsi="Times New Roman" w:eastAsia="Times New Roman" w:cs="Times New Roman"/>
              <w:sz w:val="31"/>
              <w:szCs w:val="31"/>
            </w:rPr>
          </w:pPr>
          <w:bookmarkStart w:id="26" w:name="bookmark27"/>
          <w:bookmarkEnd w:id="26"/>
          <w:r>
            <w:fldChar w:fldCharType="begin"/>
          </w:r>
          <w:r>
            <w:instrText xml:space="preserve"> HYPERLINK \l "bookmark27" </w:instrText>
          </w:r>
          <w:r>
            <w:fldChar w:fldCharType="separate"/>
          </w:r>
          <w:r>
            <w:rPr>
              <w:spacing w:val="8"/>
              <w:sz w:val="31"/>
              <w:szCs w:val="31"/>
            </w:rPr>
            <w:t>(</w:t>
          </w:r>
          <w:r>
            <w:rPr>
              <w:spacing w:val="-60"/>
              <w:sz w:val="31"/>
              <w:szCs w:val="31"/>
            </w:rPr>
            <w:t xml:space="preserve"> </w:t>
          </w:r>
          <w:r>
            <w:rPr>
              <w:spacing w:val="8"/>
              <w:sz w:val="31"/>
              <w:szCs w:val="31"/>
            </w:rPr>
            <w:t>三</w:t>
          </w:r>
          <w:r>
            <w:rPr>
              <w:spacing w:val="-60"/>
              <w:sz w:val="31"/>
              <w:szCs w:val="31"/>
            </w:rPr>
            <w:t xml:space="preserve"> </w:t>
          </w:r>
          <w:r>
            <w:rPr>
              <w:spacing w:val="8"/>
              <w:sz w:val="31"/>
              <w:szCs w:val="31"/>
            </w:rPr>
            <w:t>)项目支出产出情况</w:t>
          </w:r>
          <w:r>
            <w:rPr>
              <w:spacing w:val="-145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ab/>
          </w:r>
          <w:r>
            <w:rPr>
              <w:spacing w:val="1"/>
              <w:sz w:val="31"/>
              <w:szCs w:val="31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t>17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fldChar w:fldCharType="end"/>
          </w:r>
        </w:p>
        <w:p>
          <w:pPr>
            <w:pStyle w:val="2"/>
            <w:tabs>
              <w:tab w:val="right" w:leader="dot" w:pos="8869"/>
            </w:tabs>
            <w:spacing w:before="202" w:line="227" w:lineRule="auto"/>
            <w:ind w:left="505"/>
            <w:rPr>
              <w:rFonts w:ascii="Times New Roman" w:hAnsi="Times New Roman" w:eastAsia="Times New Roman" w:cs="Times New Roman"/>
              <w:sz w:val="31"/>
              <w:szCs w:val="31"/>
            </w:rPr>
          </w:pPr>
          <w:bookmarkStart w:id="27" w:name="bookmark28"/>
          <w:bookmarkEnd w:id="27"/>
          <w:r>
            <w:fldChar w:fldCharType="begin"/>
          </w:r>
          <w:r>
            <w:instrText xml:space="preserve"> HYPERLINK \l "bookmark28" </w:instrText>
          </w:r>
          <w:r>
            <w:fldChar w:fldCharType="separate"/>
          </w:r>
          <w:r>
            <w:rPr>
              <w:spacing w:val="-1"/>
              <w:sz w:val="31"/>
              <w:szCs w:val="31"/>
            </w:rPr>
            <w:t>(</w:t>
          </w:r>
          <w:r>
            <w:rPr>
              <w:spacing w:val="-47"/>
              <w:sz w:val="31"/>
              <w:szCs w:val="31"/>
            </w:rPr>
            <w:t xml:space="preserve"> </w:t>
          </w:r>
          <w:r>
            <w:rPr>
              <w:spacing w:val="-1"/>
              <w:sz w:val="31"/>
              <w:szCs w:val="31"/>
            </w:rPr>
            <w:t>四</w:t>
          </w:r>
          <w:r>
            <w:rPr>
              <w:spacing w:val="-70"/>
              <w:sz w:val="31"/>
              <w:szCs w:val="31"/>
            </w:rPr>
            <w:t xml:space="preserve"> </w:t>
          </w:r>
          <w:r>
            <w:rPr>
              <w:spacing w:val="-1"/>
              <w:sz w:val="31"/>
              <w:szCs w:val="31"/>
            </w:rPr>
            <w:t>)</w:t>
          </w:r>
          <w:r>
            <w:rPr>
              <w:spacing w:val="-89"/>
              <w:sz w:val="31"/>
              <w:szCs w:val="31"/>
            </w:rPr>
            <w:t xml:space="preserve"> </w:t>
          </w:r>
          <w:r>
            <w:rPr>
              <w:spacing w:val="-1"/>
              <w:sz w:val="31"/>
              <w:szCs w:val="31"/>
            </w:rPr>
            <w:t>项目支出效益情况</w:t>
          </w:r>
          <w:r>
            <w:rPr>
              <w:spacing w:val="-145"/>
              <w:sz w:val="31"/>
              <w:szCs w:val="31"/>
            </w:rPr>
            <w:t xml:space="preserve"> </w:t>
          </w:r>
          <w:r>
            <w:rPr>
              <w:sz w:val="31"/>
              <w:szCs w:val="31"/>
            </w:rPr>
            <w:tab/>
          </w:r>
          <w:r>
            <w:rPr>
              <w:spacing w:val="-39"/>
              <w:sz w:val="31"/>
              <w:szCs w:val="31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t>18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959"/>
            </w:tabs>
            <w:spacing w:before="194" w:line="222" w:lineRule="auto"/>
            <w:rPr>
              <w:rFonts w:ascii="Times New Roman" w:hAnsi="Times New Roman" w:eastAsia="Times New Roman" w:cs="Times New Roman"/>
              <w:sz w:val="31"/>
              <w:szCs w:val="31"/>
            </w:rPr>
          </w:pPr>
          <w:bookmarkStart w:id="28" w:name="bookmark29"/>
          <w:bookmarkEnd w:id="28"/>
          <w:r>
            <w:fldChar w:fldCharType="begin"/>
          </w:r>
          <w:r>
            <w:instrText xml:space="preserve"> HYPERLINK \l "bookmark29"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spacing w:val="-1"/>
              <w:sz w:val="31"/>
              <w:szCs w:val="31"/>
            </w:rPr>
            <w:t>五</w:t>
          </w:r>
          <w:r>
            <w:rPr>
              <w:rFonts w:ascii="黑体" w:hAnsi="黑体" w:eastAsia="黑体" w:cs="黑体"/>
              <w:spacing w:val="-60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b/>
              <w:bCs/>
              <w:spacing w:val="-1"/>
              <w:sz w:val="31"/>
              <w:szCs w:val="31"/>
            </w:rPr>
            <w:t>、主要经验与做法</w:t>
          </w:r>
          <w:r>
            <w:rPr>
              <w:rFonts w:ascii="黑体" w:hAnsi="黑体" w:eastAsia="黑体" w:cs="黑体"/>
              <w:spacing w:val="-136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t>18</w:t>
          </w:r>
          <w:r>
            <w:rPr>
              <w:rFonts w:ascii="Times New Roman" w:hAnsi="Times New Roman" w:eastAsia="Times New Roman" w:cs="Times New Roman"/>
              <w:spacing w:val="-10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959"/>
            </w:tabs>
            <w:spacing w:before="207" w:line="222" w:lineRule="auto"/>
            <w:rPr>
              <w:rFonts w:ascii="Times New Roman" w:hAnsi="Times New Roman" w:eastAsia="Times New Roman" w:cs="Times New Roman"/>
              <w:sz w:val="31"/>
              <w:szCs w:val="31"/>
            </w:rPr>
          </w:pPr>
          <w:bookmarkStart w:id="29" w:name="bookmark30"/>
          <w:bookmarkEnd w:id="29"/>
          <w:r>
            <w:fldChar w:fldCharType="begin"/>
          </w:r>
          <w:r>
            <w:instrText xml:space="preserve"> HYPERLINK \l "bookmark30"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spacing w:val="-8"/>
              <w:sz w:val="31"/>
              <w:szCs w:val="31"/>
            </w:rPr>
            <w:t>六</w:t>
          </w:r>
          <w:r>
            <w:rPr>
              <w:rFonts w:ascii="黑体" w:hAnsi="黑体" w:eastAsia="黑体" w:cs="黑体"/>
              <w:spacing w:val="-56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b/>
              <w:bCs/>
              <w:spacing w:val="-8"/>
              <w:sz w:val="31"/>
              <w:szCs w:val="31"/>
            </w:rPr>
            <w:t>、存在的问题及原因分析</w:t>
          </w:r>
          <w:r>
            <w:rPr>
              <w:rFonts w:ascii="黑体" w:hAnsi="黑体" w:eastAsia="黑体" w:cs="黑体"/>
              <w:spacing w:val="-133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-11"/>
              <w:sz w:val="31"/>
              <w:szCs w:val="31"/>
            </w:rPr>
            <w:t>18</w:t>
          </w:r>
          <w:r>
            <w:rPr>
              <w:rFonts w:ascii="Times New Roman" w:hAnsi="Times New Roman" w:eastAsia="Times New Roman" w:cs="Times New Roman"/>
              <w:spacing w:val="-11"/>
              <w:sz w:val="31"/>
              <w:szCs w:val="31"/>
            </w:rPr>
            <w:fldChar w:fldCharType="end"/>
          </w:r>
        </w:p>
        <w:p>
          <w:pPr>
            <w:tabs>
              <w:tab w:val="right" w:leader="dot" w:pos="8969"/>
            </w:tabs>
            <w:spacing w:before="207" w:line="222" w:lineRule="auto"/>
            <w:rPr>
              <w:rFonts w:ascii="Times New Roman" w:hAnsi="Times New Roman" w:eastAsia="Times New Roman" w:cs="Times New Roman"/>
              <w:sz w:val="31"/>
              <w:szCs w:val="31"/>
            </w:rPr>
          </w:pPr>
          <w:bookmarkStart w:id="30" w:name="bookmark31"/>
          <w:bookmarkEnd w:id="30"/>
          <w:r>
            <w:fldChar w:fldCharType="begin"/>
          </w:r>
          <w:r>
            <w:instrText xml:space="preserve"> HYPERLINK \l "bookmark31"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spacing w:val="-8"/>
              <w:sz w:val="31"/>
              <w:szCs w:val="31"/>
            </w:rPr>
            <w:t>七、有关建议</w:t>
          </w:r>
          <w:r>
            <w:rPr>
              <w:rFonts w:ascii="黑体" w:hAnsi="黑体" w:eastAsia="黑体" w:cs="黑体"/>
              <w:spacing w:val="-132"/>
              <w:sz w:val="31"/>
              <w:szCs w:val="31"/>
            </w:rPr>
            <w:t xml:space="preserve"> </w:t>
          </w:r>
          <w:r>
            <w:rPr>
              <w:rFonts w:ascii="黑体" w:hAnsi="黑体" w:eastAsia="黑体" w:cs="黑体"/>
              <w:sz w:val="31"/>
              <w:szCs w:val="31"/>
            </w:rPr>
            <w:tab/>
          </w:r>
          <w:r>
            <w:rPr>
              <w:rFonts w:ascii="Times New Roman" w:hAnsi="Times New Roman" w:eastAsia="Times New Roman" w:cs="Times New Roman"/>
              <w:spacing w:val="9"/>
              <w:sz w:val="31"/>
              <w:szCs w:val="31"/>
            </w:rPr>
            <w:t>21</w:t>
          </w:r>
          <w:r>
            <w:rPr>
              <w:rFonts w:ascii="Times New Roman" w:hAnsi="Times New Roman" w:eastAsia="Times New Roman" w:cs="Times New Roman"/>
              <w:spacing w:val="9"/>
              <w:sz w:val="31"/>
              <w:szCs w:val="31"/>
            </w:rPr>
            <w:fldChar w:fldCharType="end"/>
          </w:r>
        </w:p>
      </w:sdtContent>
    </w:sdt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" w:line="1140" w:lineRule="exact"/>
        <w:ind w:firstLine="9005"/>
      </w:pPr>
    </w:p>
    <w:p>
      <w:pPr>
        <w:spacing w:line="1140" w:lineRule="exact"/>
        <w:sectPr>
          <w:footerReference r:id="rId5" w:type="default"/>
          <w:pgSz w:w="11900" w:h="16820"/>
          <w:pgMar w:top="1429" w:right="240" w:bottom="1" w:left="1484" w:header="0" w:footer="0" w:gutter="0"/>
          <w:cols w:space="720" w:num="1"/>
        </w:sectPr>
      </w:pPr>
    </w:p>
    <w:p>
      <w:pPr>
        <w:spacing w:before="154" w:line="204" w:lineRule="auto"/>
        <w:ind w:left="78"/>
        <w:rPr>
          <w:rFonts w:ascii="宋体" w:hAnsi="宋体" w:eastAsia="宋体" w:cs="宋体"/>
          <w:sz w:val="64"/>
          <w:szCs w:val="64"/>
        </w:rPr>
      </w:pPr>
      <w:bookmarkStart w:id="31" w:name="bookmark32"/>
      <w:bookmarkEnd w:id="31"/>
      <w:r>
        <w:rPr>
          <w:rFonts w:ascii="宋体" w:hAnsi="宋体" w:eastAsia="宋体" w:cs="宋体"/>
          <w:b/>
          <w:bCs/>
          <w:spacing w:val="-57"/>
          <w:w w:val="96"/>
          <w:sz w:val="64"/>
          <w:szCs w:val="64"/>
        </w:rPr>
        <w:t>湖南南方会计师事务所有限责任公司</w:t>
      </w:r>
    </w:p>
    <w:p>
      <w:pPr>
        <w:spacing w:before="1" w:line="188" w:lineRule="auto"/>
        <w:ind w:left="170"/>
        <w:rPr>
          <w:rFonts w:ascii="Times New Roman" w:hAnsi="Times New Roman" w:eastAsia="Times New Roman" w:cs="Times New Roman"/>
          <w:sz w:val="41"/>
          <w:szCs w:val="41"/>
        </w:rPr>
      </w:pPr>
      <w:r>
        <w:rPr>
          <w:rFonts w:ascii="Times New Roman" w:hAnsi="Times New Roman" w:eastAsia="Times New Roman" w:cs="Times New Roman"/>
          <w:b/>
          <w:bCs/>
          <w:spacing w:val="-11"/>
          <w:w w:val="71"/>
          <w:sz w:val="41"/>
          <w:szCs w:val="41"/>
        </w:rPr>
        <w:t>HUNANNANFANGKUAIJISHISHIWUSUOYOUXIANZRRENGO</w:t>
      </w:r>
      <w:r>
        <w:rPr>
          <w:rFonts w:ascii="Times New Roman" w:hAnsi="Times New Roman" w:eastAsia="Times New Roman" w:cs="Times New Roman"/>
          <w:b/>
          <w:bCs/>
          <w:spacing w:val="-12"/>
          <w:w w:val="71"/>
          <w:sz w:val="41"/>
          <w:szCs w:val="41"/>
        </w:rPr>
        <w:t>NGSI</w:t>
      </w:r>
    </w:p>
    <w:p>
      <w:pPr>
        <w:spacing w:line="328" w:lineRule="auto"/>
        <w:rPr>
          <w:rFonts w:ascii="Arial"/>
          <w:sz w:val="21"/>
        </w:rPr>
      </w:pPr>
    </w:p>
    <w:p>
      <w:pPr>
        <w:spacing w:before="98" w:line="222" w:lineRule="auto"/>
        <w:ind w:left="304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9"/>
          <w:sz w:val="30"/>
          <w:szCs w:val="30"/>
        </w:rPr>
        <w:t>湘南绩评字[2022]014号</w:t>
      </w:r>
    </w:p>
    <w:p>
      <w:pPr>
        <w:spacing w:line="457" w:lineRule="auto"/>
        <w:rPr>
          <w:rFonts w:ascii="Arial"/>
          <w:sz w:val="21"/>
        </w:rPr>
      </w:pPr>
    </w:p>
    <w:p>
      <w:pPr>
        <w:spacing w:before="110" w:line="219" w:lineRule="auto"/>
        <w:ind w:left="260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spacing w:val="-31"/>
          <w:sz w:val="34"/>
          <w:szCs w:val="34"/>
          <w:u w:val="single" w:color="auto"/>
        </w:rPr>
        <w:t>邵阳市双拥路宝庆府邸</w:t>
      </w:r>
      <w:r>
        <w:rPr>
          <w:rFonts w:ascii="宋体" w:hAnsi="宋体" w:eastAsia="宋体" w:cs="宋体"/>
          <w:spacing w:val="-53"/>
          <w:sz w:val="34"/>
          <w:szCs w:val="34"/>
          <w:u w:val="single" w:color="auto"/>
        </w:rPr>
        <w:t xml:space="preserve"> </w:t>
      </w:r>
      <w:r>
        <w:rPr>
          <w:rFonts w:ascii="宋体" w:hAnsi="宋体" w:eastAsia="宋体" w:cs="宋体"/>
          <w:spacing w:val="-31"/>
          <w:sz w:val="34"/>
          <w:szCs w:val="34"/>
          <w:u w:val="single" w:color="auto"/>
        </w:rPr>
        <w:t>·馨园三栋一单元二楼电话0739-5311268</w:t>
      </w:r>
    </w:p>
    <w:p>
      <w:pPr>
        <w:spacing w:line="316" w:lineRule="auto"/>
        <w:rPr>
          <w:rFonts w:ascii="Arial"/>
          <w:sz w:val="21"/>
        </w:rPr>
      </w:pPr>
    </w:p>
    <w:p>
      <w:pPr>
        <w:spacing w:before="146" w:line="225" w:lineRule="auto"/>
        <w:ind w:left="3266" w:right="2468" w:hanging="1900"/>
        <w:rPr>
          <w:rFonts w:ascii="黑体" w:hAnsi="黑体" w:eastAsia="黑体" w:cs="黑体"/>
          <w:sz w:val="45"/>
          <w:szCs w:val="45"/>
        </w:rPr>
      </w:pPr>
      <w:r>
        <w:rPr>
          <w:rFonts w:ascii="黑体" w:hAnsi="黑体" w:eastAsia="黑体" w:cs="黑体"/>
          <w:b/>
          <w:bCs/>
          <w:spacing w:val="-31"/>
          <w:sz w:val="45"/>
          <w:szCs w:val="45"/>
        </w:rPr>
        <w:t>邵阳市强制隔离戒毒所改扩建项目</w:t>
      </w:r>
      <w:r>
        <w:rPr>
          <w:rFonts w:ascii="黑体" w:hAnsi="黑体" w:eastAsia="黑体" w:cs="黑体"/>
          <w:sz w:val="45"/>
          <w:szCs w:val="45"/>
        </w:rPr>
        <w:t xml:space="preserve"> </w:t>
      </w:r>
      <w:r>
        <w:rPr>
          <w:rFonts w:ascii="黑体" w:hAnsi="黑体" w:eastAsia="黑体" w:cs="黑体"/>
          <w:b/>
          <w:bCs/>
          <w:spacing w:val="-26"/>
          <w:sz w:val="45"/>
          <w:szCs w:val="45"/>
        </w:rPr>
        <w:t>绩效评价报告</w:t>
      </w:r>
    </w:p>
    <w:p>
      <w:pPr>
        <w:spacing w:line="306" w:lineRule="auto"/>
        <w:rPr>
          <w:rFonts w:ascii="Arial"/>
          <w:sz w:val="21"/>
        </w:rPr>
      </w:pPr>
    </w:p>
    <w:p>
      <w:pPr>
        <w:spacing w:line="307" w:lineRule="auto"/>
        <w:rPr>
          <w:rFonts w:ascii="Arial"/>
          <w:sz w:val="21"/>
        </w:rPr>
      </w:pPr>
    </w:p>
    <w:p>
      <w:pPr>
        <w:tabs>
          <w:tab w:val="left" w:pos="170"/>
        </w:tabs>
        <w:spacing w:before="111" w:line="308" w:lineRule="auto"/>
        <w:ind w:right="1208" w:firstLine="690"/>
        <w:jc w:val="both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-21"/>
          <w:sz w:val="34"/>
          <w:szCs w:val="34"/>
        </w:rPr>
        <w:t>为了切实加强预算绩效管理，提高财政资金使用效</w:t>
      </w:r>
      <w:r>
        <w:rPr>
          <w:rFonts w:ascii="仿宋" w:hAnsi="仿宋" w:eastAsia="仿宋" w:cs="仿宋"/>
          <w:spacing w:val="-22"/>
          <w:sz w:val="34"/>
          <w:szCs w:val="34"/>
        </w:rPr>
        <w:t>益，根据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-2"/>
          <w:sz w:val="34"/>
          <w:szCs w:val="34"/>
        </w:rPr>
        <w:t>《中共中央国务院关于全面实施预算绩效管理的意见》(中发</w:t>
      </w:r>
      <w:r>
        <w:rPr>
          <w:rFonts w:ascii="仿宋" w:hAnsi="仿宋" w:eastAsia="仿宋" w:cs="仿宋"/>
          <w:spacing w:val="11"/>
          <w:sz w:val="34"/>
          <w:szCs w:val="34"/>
        </w:rPr>
        <w:t xml:space="preserve"> </w:t>
      </w:r>
      <w:r>
        <w:rPr>
          <w:rFonts w:ascii="仿宋" w:hAnsi="仿宋" w:eastAsia="仿宋" w:cs="仿宋"/>
          <w:sz w:val="34"/>
          <w:szCs w:val="34"/>
        </w:rPr>
        <w:tab/>
      </w:r>
      <w:r>
        <w:rPr>
          <w:rFonts w:ascii="仿宋" w:hAnsi="仿宋" w:eastAsia="仿宋" w:cs="仿宋"/>
          <w:spacing w:val="-2"/>
          <w:sz w:val="34"/>
          <w:szCs w:val="34"/>
        </w:rPr>
        <w:t>(2018)34号)、 《中共湖南省委办公厅</w:t>
      </w:r>
      <w:r>
        <w:rPr>
          <w:rFonts w:ascii="仿宋" w:hAnsi="仿宋" w:eastAsia="仿宋" w:cs="仿宋"/>
          <w:spacing w:val="-3"/>
          <w:sz w:val="34"/>
          <w:szCs w:val="34"/>
        </w:rPr>
        <w:t>湖南省人民政府办公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-9"/>
          <w:sz w:val="34"/>
          <w:szCs w:val="34"/>
        </w:rPr>
        <w:t>厅关于全面实施预算绩效管理的实施意见》(湘办发〔2019)10</w:t>
      </w:r>
      <w:r>
        <w:rPr>
          <w:rFonts w:ascii="仿宋" w:hAnsi="仿宋" w:eastAsia="仿宋" w:cs="仿宋"/>
          <w:spacing w:val="6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-14"/>
          <w:sz w:val="34"/>
          <w:szCs w:val="34"/>
        </w:rPr>
        <w:t>号)和《湖南省财政厅关于印发湖南省预算支出</w:t>
      </w:r>
      <w:r>
        <w:rPr>
          <w:rFonts w:ascii="仿宋" w:hAnsi="仿宋" w:eastAsia="仿宋" w:cs="仿宋"/>
          <w:spacing w:val="-15"/>
          <w:sz w:val="34"/>
          <w:szCs w:val="34"/>
        </w:rPr>
        <w:t>绩效评价管理办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9"/>
          <w:sz w:val="34"/>
          <w:szCs w:val="34"/>
        </w:rPr>
        <w:t>法的通知》(湘财绩(2020)7号)等有关规定，按照《邵阳市</w:t>
      </w:r>
      <w:r>
        <w:rPr>
          <w:rFonts w:ascii="仿宋" w:hAnsi="仿宋" w:eastAsia="仿宋" w:cs="仿宋"/>
          <w:spacing w:val="1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-21"/>
          <w:sz w:val="34"/>
          <w:szCs w:val="34"/>
        </w:rPr>
        <w:t>强制隔离戒毒所改扩建项目资金绩效评价工作的通知》要求，受</w:t>
      </w:r>
      <w:r>
        <w:rPr>
          <w:rFonts w:ascii="仿宋" w:hAnsi="仿宋" w:eastAsia="仿宋" w:cs="仿宋"/>
          <w:spacing w:val="14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-21"/>
          <w:sz w:val="34"/>
          <w:szCs w:val="34"/>
        </w:rPr>
        <w:t>邵阳市财政局委托，湖南南方会计师事务所有限责任公司组成绩</w:t>
      </w:r>
      <w:r>
        <w:rPr>
          <w:rFonts w:ascii="仿宋" w:hAnsi="仿宋" w:eastAsia="仿宋" w:cs="仿宋"/>
          <w:spacing w:val="18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-8"/>
          <w:sz w:val="34"/>
          <w:szCs w:val="34"/>
        </w:rPr>
        <w:t>效评价工作组，于2022年7月至8月对邵阳市强制隔离戒毒所改</w:t>
      </w:r>
      <w:r>
        <w:rPr>
          <w:rFonts w:ascii="仿宋" w:hAnsi="仿宋" w:eastAsia="仿宋" w:cs="仿宋"/>
          <w:sz w:val="34"/>
          <w:szCs w:val="34"/>
        </w:rPr>
        <w:t xml:space="preserve"> </w:t>
      </w:r>
      <w:r>
        <w:rPr>
          <w:rFonts w:ascii="仿宋" w:hAnsi="仿宋" w:eastAsia="仿宋" w:cs="仿宋"/>
          <w:spacing w:val="-23"/>
          <w:sz w:val="34"/>
          <w:szCs w:val="34"/>
        </w:rPr>
        <w:t>扩建项目资金开展了预算绩效评价。现将评价情况报告如下：</w:t>
      </w:r>
    </w:p>
    <w:p>
      <w:pPr>
        <w:pStyle w:val="2"/>
        <w:spacing w:before="120" w:line="222" w:lineRule="auto"/>
        <w:ind w:left="614"/>
        <w:outlineLvl w:val="0"/>
        <w:rPr>
          <w:rFonts w:ascii="黑体" w:hAnsi="黑体" w:eastAsia="黑体" w:cs="黑体"/>
          <w:sz w:val="33"/>
          <w:szCs w:val="33"/>
        </w:rPr>
      </w:pPr>
      <w:bookmarkStart w:id="32" w:name="bookmark2"/>
      <w:bookmarkEnd w:id="32"/>
      <w:r>
        <w:rPr>
          <w:b/>
          <w:bCs/>
          <w:spacing w:val="-25"/>
          <w:sz w:val="33"/>
          <w:szCs w:val="33"/>
        </w:rPr>
        <w:t>一、</w:t>
      </w:r>
      <w:r>
        <w:rPr>
          <w:rFonts w:ascii="黑体" w:hAnsi="黑体" w:eastAsia="黑体" w:cs="黑体"/>
          <w:b/>
          <w:bCs/>
          <w:spacing w:val="-25"/>
          <w:sz w:val="33"/>
          <w:szCs w:val="33"/>
        </w:rPr>
        <w:t>项目支出基本情况</w:t>
      </w:r>
    </w:p>
    <w:p>
      <w:pPr>
        <w:spacing w:before="164" w:line="222" w:lineRule="auto"/>
        <w:ind w:left="814"/>
        <w:outlineLvl w:val="1"/>
        <w:rPr>
          <w:rFonts w:ascii="仿宋" w:hAnsi="仿宋" w:eastAsia="仿宋" w:cs="仿宋"/>
          <w:sz w:val="34"/>
          <w:szCs w:val="34"/>
        </w:rPr>
      </w:pPr>
      <w:bookmarkStart w:id="33" w:name="bookmark3"/>
      <w:bookmarkEnd w:id="33"/>
      <w:r>
        <w:rPr>
          <w:rFonts w:ascii="仿宋" w:hAnsi="仿宋" w:eastAsia="仿宋" w:cs="仿宋"/>
          <w:b/>
          <w:bCs/>
          <w:spacing w:val="-7"/>
          <w:sz w:val="34"/>
          <w:szCs w:val="34"/>
        </w:rPr>
        <w:t>(一)项目支出概况</w:t>
      </w:r>
    </w:p>
    <w:p>
      <w:pPr>
        <w:spacing w:before="200" w:line="222" w:lineRule="auto"/>
        <w:ind w:left="614"/>
        <w:outlineLvl w:val="2"/>
        <w:rPr>
          <w:rFonts w:ascii="仿宋" w:hAnsi="仿宋" w:eastAsia="仿宋" w:cs="仿宋"/>
          <w:sz w:val="33"/>
          <w:szCs w:val="33"/>
        </w:rPr>
      </w:pPr>
      <w:bookmarkStart w:id="34" w:name="bookmark4"/>
      <w:bookmarkEnd w:id="34"/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1、</w:t>
      </w:r>
      <w:r>
        <w:rPr>
          <w:rFonts w:ascii="仿宋" w:hAnsi="仿宋" w:eastAsia="仿宋" w:cs="仿宋"/>
          <w:b/>
          <w:bCs/>
          <w:spacing w:val="-24"/>
          <w:sz w:val="33"/>
          <w:szCs w:val="33"/>
        </w:rPr>
        <w:t>项目基本情况</w:t>
      </w:r>
    </w:p>
    <w:p>
      <w:pPr>
        <w:spacing w:before="211" w:line="219" w:lineRule="auto"/>
        <w:ind w:left="61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31"/>
          <w:sz w:val="33"/>
          <w:szCs w:val="33"/>
        </w:rPr>
        <w:t>邵阳市强制隔离戒毒所是市司法局二级机构，</w:t>
      </w:r>
      <w:r>
        <w:rPr>
          <w:rFonts w:ascii="仿宋" w:hAnsi="仿宋" w:eastAsia="仿宋" w:cs="仿宋"/>
          <w:spacing w:val="-32"/>
          <w:sz w:val="33"/>
          <w:szCs w:val="33"/>
        </w:rPr>
        <w:t>由邵阳市劳教所转</w:t>
      </w:r>
    </w:p>
    <w:p>
      <w:pPr>
        <w:spacing w:line="314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spacing w:before="41" w:line="188" w:lineRule="auto"/>
        <w:ind w:left="443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1</w:t>
      </w:r>
    </w:p>
    <w:p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pgSz w:w="11900" w:h="16820"/>
          <w:pgMar w:top="1429" w:right="260" w:bottom="400" w:left="1449" w:header="0" w:footer="0" w:gutter="0"/>
          <w:cols w:space="720" w:num="1"/>
        </w:sectPr>
      </w:pPr>
    </w:p>
    <w:p>
      <w:pPr>
        <w:spacing w:line="320" w:lineRule="auto"/>
        <w:rPr>
          <w:rFonts w:ascii="Arial"/>
          <w:sz w:val="21"/>
        </w:rPr>
      </w:pPr>
    </w:p>
    <w:p>
      <w:pPr>
        <w:spacing w:before="100" w:line="332" w:lineRule="auto"/>
        <w:ind w:right="1187"/>
        <w:jc w:val="both"/>
        <w:rPr>
          <w:rFonts w:ascii="仿宋" w:hAnsi="仿宋" w:eastAsia="仿宋" w:cs="仿宋"/>
          <w:sz w:val="31"/>
          <w:szCs w:val="31"/>
        </w:rPr>
      </w:pPr>
      <w:bookmarkStart w:id="35" w:name="bookmark33"/>
      <w:bookmarkEnd w:id="35"/>
      <w:r>
        <w:rPr>
          <w:rFonts w:ascii="仿宋" w:hAnsi="仿宋" w:eastAsia="仿宋" w:cs="仿宋"/>
          <w:spacing w:val="-8"/>
          <w:sz w:val="31"/>
          <w:szCs w:val="31"/>
        </w:rPr>
        <w:t>型而来，主要承担收治戒毒人员职能，目前收治规模约500人。随着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吸毒人数逐年增加，需强制隔离戒毒人数也逐年上升，邵阳市强制隔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离戒毒所现有容量和设施已经超负荷运转，满足不了戒毒工作的需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要，直接影响戒毒人员康复治疗和管理教育的效果，对社会的和谐稳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定造成潜在的威胁。</w:t>
      </w:r>
    </w:p>
    <w:p>
      <w:pPr>
        <w:spacing w:before="83" w:line="344" w:lineRule="auto"/>
        <w:ind w:right="1094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3"/>
          <w:sz w:val="31"/>
          <w:szCs w:val="31"/>
        </w:rPr>
        <w:t>为了缓解戒毒人员无处收治问题，戒毒所扩大收治规模已迫在眉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睫。2018年2月，湖南省戒毒管理局下发了《关于核定邵阳市</w:t>
      </w:r>
      <w:r>
        <w:rPr>
          <w:rFonts w:ascii="仿宋" w:hAnsi="仿宋" w:eastAsia="仿宋" w:cs="仿宋"/>
          <w:spacing w:val="3"/>
          <w:sz w:val="31"/>
          <w:szCs w:val="31"/>
        </w:rPr>
        <w:t>强制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隔离戒毒所收治规模的通知》(湘戒毒〔2018)7号〕,同意戒毒所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扩大规模，核定收治规模为1200人；同年4月18日，邵阳市人民政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府召开2018年第10次常务会，会议决定启动司法强制隔离戒毒所改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扩建工程建设。根据会议精神，市司法局正式启动戒毒</w:t>
      </w:r>
      <w:r>
        <w:rPr>
          <w:rFonts w:ascii="仿宋" w:hAnsi="仿宋" w:eastAsia="仿宋" w:cs="仿宋"/>
          <w:spacing w:val="-9"/>
          <w:sz w:val="31"/>
          <w:szCs w:val="31"/>
        </w:rPr>
        <w:t>所建设项目，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办理了能源情况说明、环境影响登记备案、国土预审、规划选址、项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目可研、可研评审、初步设计、申报财政资金等前</w:t>
      </w:r>
      <w:r>
        <w:rPr>
          <w:rFonts w:ascii="仿宋" w:hAnsi="仿宋" w:eastAsia="仿宋" w:cs="仿宋"/>
          <w:spacing w:val="-15"/>
          <w:sz w:val="31"/>
          <w:szCs w:val="31"/>
        </w:rPr>
        <w:t>期工作。同年邵阳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市发展和改革委员会发布了《关于邵阳市强制隔离戒毒所改扩建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项目(一期)可行性研究报告的批复》(邵市发改投〔2018〕361 </w:t>
      </w:r>
      <w:r>
        <w:rPr>
          <w:rFonts w:ascii="仿宋" w:hAnsi="仿宋" w:eastAsia="仿宋" w:cs="仿宋"/>
          <w:spacing w:val="19"/>
          <w:sz w:val="31"/>
          <w:szCs w:val="31"/>
        </w:rPr>
        <w:t>号),项目顺利立项。2019年3月至4月市强制隔离戒毒所分别向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市住建局和市发改委上报《关于对邵阳市强制戒毒所初步设计审批申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请报告》、《关于邵阳市强制隔离戒毒所改扩建项目概算书的申请审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批的报告》,2019年4月至5月市住建局和市发改委分别对项目初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步设计和项目概算做出批复，批复项目</w:t>
      </w:r>
      <w:r>
        <w:rPr>
          <w:rFonts w:ascii="仿宋" w:hAnsi="仿宋" w:eastAsia="仿宋" w:cs="仿宋"/>
          <w:b/>
          <w:bCs/>
          <w:spacing w:val="-2"/>
          <w:sz w:val="31"/>
          <w:szCs w:val="31"/>
        </w:rPr>
        <w:t>建设规模</w:t>
      </w:r>
      <w:r>
        <w:rPr>
          <w:rFonts w:ascii="仿宋" w:hAnsi="仿宋" w:eastAsia="仿宋" w:cs="仿宋"/>
          <w:spacing w:val="-2"/>
          <w:sz w:val="31"/>
          <w:szCs w:val="31"/>
        </w:rPr>
        <w:t>为四栋</w:t>
      </w:r>
      <w:r>
        <w:rPr>
          <w:rFonts w:ascii="仿宋" w:hAnsi="仿宋" w:eastAsia="仿宋" w:cs="仿宋"/>
          <w:spacing w:val="-3"/>
          <w:sz w:val="31"/>
          <w:szCs w:val="31"/>
        </w:rPr>
        <w:t>多层公共建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筑，总建筑面积为</w:t>
      </w:r>
      <w:r>
        <w:rPr>
          <w:rFonts w:ascii="Times New Roman" w:hAnsi="Times New Roman" w:eastAsia="Times New Roman" w:cs="Times New Roman"/>
          <w:b/>
          <w:bCs/>
          <w:spacing w:val="-3"/>
          <w:sz w:val="31"/>
          <w:szCs w:val="31"/>
        </w:rPr>
        <w:t>16750.45</w:t>
      </w:r>
      <w:r>
        <w:rPr>
          <w:rFonts w:ascii="仿宋" w:hAnsi="仿宋" w:eastAsia="仿宋" w:cs="仿宋"/>
          <w:spacing w:val="-3"/>
          <w:sz w:val="31"/>
          <w:szCs w:val="31"/>
        </w:rPr>
        <w:t>平方米，其中：</w:t>
      </w:r>
      <w:r>
        <w:rPr>
          <w:rFonts w:ascii="仿宋" w:hAnsi="仿宋" w:eastAsia="仿宋" w:cs="仿宋"/>
          <w:spacing w:val="-4"/>
          <w:sz w:val="31"/>
          <w:szCs w:val="31"/>
        </w:rPr>
        <w:t>1#楼建筑面积为1658.02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平方米，共3层，建筑高度为11.1米；2#楼建筑面积5498.14平方米，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共5层，建筑高度为19.5米；3#楼建筑面积5498.14平方米，共5层，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40" w:line="188" w:lineRule="auto"/>
        <w:ind w:left="440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2</w:t>
      </w:r>
    </w:p>
    <w:p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pgSz w:w="11900" w:h="16820"/>
          <w:pgMar w:top="1429" w:right="260" w:bottom="400" w:left="1489" w:header="0" w:footer="0" w:gutter="0"/>
          <w:cols w:space="720" w:num="1"/>
        </w:sectPr>
      </w:pPr>
    </w:p>
    <w:p>
      <w:pPr>
        <w:spacing w:line="312" w:lineRule="auto"/>
        <w:rPr>
          <w:rFonts w:ascii="Arial"/>
          <w:sz w:val="21"/>
        </w:rPr>
      </w:pPr>
    </w:p>
    <w:p>
      <w:pPr>
        <w:spacing w:before="101" w:line="341" w:lineRule="auto"/>
        <w:ind w:right="117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建筑高度为19.5米；4#楼建筑面积4096.15平方米，共4层，建筑高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度17.1米；批复项目</w:t>
      </w:r>
      <w:r>
        <w:rPr>
          <w:rFonts w:ascii="仿宋" w:hAnsi="仿宋" w:eastAsia="仿宋" w:cs="仿宋"/>
          <w:b/>
          <w:bCs/>
          <w:spacing w:val="-10"/>
          <w:sz w:val="31"/>
          <w:szCs w:val="31"/>
        </w:rPr>
        <w:t>投资总概算为</w:t>
      </w:r>
      <w:r>
        <w:rPr>
          <w:rFonts w:ascii="仿宋" w:hAnsi="仿宋" w:eastAsia="仿宋" w:cs="仿宋"/>
          <w:spacing w:val="-10"/>
          <w:sz w:val="31"/>
          <w:szCs w:val="31"/>
        </w:rPr>
        <w:t>5661.3万元，其中工程费用4842.3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万元(含二次装修、配套基础设施等投资),工程建设其他费用614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万元，预备费205万元。项目建设资金纳</w:t>
      </w:r>
      <w:r>
        <w:rPr>
          <w:rFonts w:ascii="仿宋" w:hAnsi="仿宋" w:eastAsia="仿宋" w:cs="仿宋"/>
          <w:spacing w:val="3"/>
          <w:sz w:val="31"/>
          <w:szCs w:val="31"/>
        </w:rPr>
        <w:t>入财政预算，获批5643万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元，计划先安排政法基础设施建设中央预算内资金用于建设，在建设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期内，缺口资金由市财政分两年据实配套解决。</w:t>
      </w:r>
    </w:p>
    <w:p>
      <w:pPr>
        <w:spacing w:before="42" w:line="221" w:lineRule="auto"/>
        <w:ind w:left="614"/>
        <w:outlineLvl w:val="2"/>
        <w:rPr>
          <w:rFonts w:ascii="仿宋" w:hAnsi="仿宋" w:eastAsia="仿宋" w:cs="仿宋"/>
          <w:sz w:val="31"/>
          <w:szCs w:val="31"/>
        </w:rPr>
      </w:pPr>
      <w:bookmarkStart w:id="36" w:name="bookmark5"/>
      <w:bookmarkEnd w:id="36"/>
      <w:r>
        <w:rPr>
          <w:rFonts w:ascii="宋体" w:hAnsi="宋体" w:eastAsia="宋体" w:cs="宋体"/>
          <w:b/>
          <w:bCs/>
          <w:spacing w:val="-6"/>
          <w:sz w:val="31"/>
          <w:szCs w:val="31"/>
        </w:rPr>
        <w:t>2、</w:t>
      </w:r>
      <w:r>
        <w:rPr>
          <w:rFonts w:ascii="仿宋" w:hAnsi="仿宋" w:eastAsia="仿宋" w:cs="仿宋"/>
          <w:b/>
          <w:bCs/>
          <w:spacing w:val="-6"/>
          <w:sz w:val="31"/>
          <w:szCs w:val="31"/>
        </w:rPr>
        <w:t>项目单位情况</w:t>
      </w:r>
    </w:p>
    <w:p>
      <w:pPr>
        <w:spacing w:before="211" w:line="329" w:lineRule="auto"/>
        <w:ind w:right="1104" w:firstLine="60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0"/>
          <w:sz w:val="31"/>
          <w:szCs w:val="31"/>
        </w:rPr>
        <w:t>市司法局作为该项目主管部门，负责组织、协调及推进项目工作；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市强制隔离戒毒所为项目实施单位，负责项目立项、报批、资金拨付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管理、项目监管、竣工验收等工作。</w:t>
      </w:r>
    </w:p>
    <w:p>
      <w:pPr>
        <w:spacing w:before="69" w:line="221" w:lineRule="auto"/>
        <w:ind w:left="614"/>
        <w:outlineLvl w:val="2"/>
        <w:rPr>
          <w:rFonts w:ascii="仿宋" w:hAnsi="仿宋" w:eastAsia="仿宋" w:cs="仿宋"/>
          <w:sz w:val="31"/>
          <w:szCs w:val="31"/>
        </w:rPr>
      </w:pPr>
      <w:bookmarkStart w:id="37" w:name="bookmark6"/>
      <w:bookmarkEnd w:id="37"/>
      <w:r>
        <w:rPr>
          <w:rFonts w:ascii="宋体" w:hAnsi="宋体" w:eastAsia="宋体" w:cs="宋体"/>
          <w:b/>
          <w:bCs/>
          <w:spacing w:val="-8"/>
          <w:sz w:val="31"/>
          <w:szCs w:val="31"/>
        </w:rPr>
        <w:t>3、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主要参建单位和监理单位</w:t>
      </w:r>
    </w:p>
    <w:p>
      <w:pPr>
        <w:spacing w:before="210" w:line="342" w:lineRule="auto"/>
        <w:ind w:right="1065" w:firstLine="60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根据《邵阳市人民政府关于印发&lt;邵阳市市级重点建设项目管理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办法&gt;的通知》(邵市政发(2014)6号)的文件精神，项目总投资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"/>
          <w:sz w:val="31"/>
          <w:szCs w:val="31"/>
        </w:rPr>
        <w:t>在3000万元以上的非经营性政府投资项目，必须实行代建制，代建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单位通过公开招标方式选定。2019年3月10日，湖南长顺项</w:t>
      </w:r>
      <w:r>
        <w:rPr>
          <w:rFonts w:ascii="仿宋" w:hAnsi="仿宋" w:eastAsia="仿宋" w:cs="仿宋"/>
          <w:spacing w:val="2"/>
          <w:sz w:val="31"/>
          <w:szCs w:val="31"/>
        </w:rPr>
        <w:t>目管理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5"/>
          <w:sz w:val="31"/>
          <w:szCs w:val="31"/>
        </w:rPr>
        <w:t>有限公司以156万元的价格中标，成为该</w:t>
      </w:r>
      <w:r>
        <w:rPr>
          <w:rFonts w:ascii="仿宋" w:hAnsi="仿宋" w:eastAsia="仿宋" w:cs="仿宋"/>
          <w:spacing w:val="14"/>
          <w:sz w:val="31"/>
          <w:szCs w:val="31"/>
        </w:rPr>
        <w:t>项目的代建单位。代建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单位主要职责是：对项目前期准备工作、建安工作、材料设备采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购、室外工程及相关事项等进行全过程管理，严格控制项目投资、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质量安全、工期进度，项目竣工验收后移交给使用单位，完成代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建工作。</w:t>
      </w:r>
    </w:p>
    <w:p>
      <w:pPr>
        <w:spacing w:before="86" w:line="351" w:lineRule="auto"/>
        <w:ind w:right="1197" w:firstLine="60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该项目通过招标方式分别选定施工单位、监理单位、工程勘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探单位、桩基础质量检测单位、工程设计单位。湖南省第四工程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有限公司以4821.888万元的价格中标项目的施工总</w:t>
      </w:r>
      <w:r>
        <w:rPr>
          <w:rFonts w:ascii="仿宋" w:hAnsi="仿宋" w:eastAsia="仿宋" w:cs="仿宋"/>
          <w:spacing w:val="7"/>
          <w:sz w:val="31"/>
          <w:szCs w:val="31"/>
        </w:rPr>
        <w:t>承包，具体负</w:t>
      </w:r>
    </w:p>
    <w:p>
      <w:pPr>
        <w:spacing w:line="393" w:lineRule="auto"/>
        <w:rPr>
          <w:rFonts w:ascii="Arial"/>
          <w:sz w:val="21"/>
        </w:rPr>
      </w:pPr>
    </w:p>
    <w:p>
      <w:pPr>
        <w:spacing w:before="43" w:line="188" w:lineRule="auto"/>
        <w:ind w:left="440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3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90" w:bottom="400" w:left="1480" w:header="0" w:footer="0" w:gutter="0"/>
          <w:cols w:space="720" w:num="1"/>
        </w:sectPr>
      </w:pPr>
    </w:p>
    <w:p>
      <w:pPr>
        <w:spacing w:line="314" w:lineRule="auto"/>
        <w:rPr>
          <w:rFonts w:ascii="Arial"/>
          <w:sz w:val="21"/>
        </w:rPr>
      </w:pPr>
    </w:p>
    <w:p>
      <w:pPr>
        <w:spacing w:before="104" w:line="337" w:lineRule="auto"/>
        <w:ind w:right="117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责对工程项目的工期、质量、安全、环境、成本的管理和交付使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用后期保修；湖南正茂建设管理有限公司以91.2万元的价格中标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项目的监理，具体负责对项目全过程进行监督、管理；湖南省城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乡建设勘测院以30万元价格中标项目工程勘探，负责对项目143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根桩基实施超前钻，为旋挖桩提供技术参数，以及为工程验收提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供依据和钻探报告；湖南同力检测咨询有限公司以</w:t>
      </w:r>
      <w:r>
        <w:rPr>
          <w:rFonts w:ascii="Times New Roman" w:hAnsi="Times New Roman" w:eastAsia="Times New Roman" w:cs="Times New Roman"/>
          <w:b/>
          <w:bCs/>
          <w:spacing w:val="3"/>
          <w:sz w:val="32"/>
          <w:szCs w:val="32"/>
        </w:rPr>
        <w:t>60.24</w:t>
      </w:r>
      <w:r>
        <w:rPr>
          <w:rFonts w:ascii="Times New Roman" w:hAnsi="Times New Roman" w:eastAsia="Times New Roman" w:cs="Times New Roman"/>
          <w:b/>
          <w:bCs/>
          <w:spacing w:val="3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万元价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格中标项目的桩基础质量检测，负责检测桩基工程质量，主要检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测桩身的完整性和桩的承载能力，避免桩基施工的安全隐患；湖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南金鼎建筑设计研究院以44.3126万元价格中标项目的设计，负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责项目设计工作，保证设计符合工程建设标</w:t>
      </w:r>
      <w:r>
        <w:rPr>
          <w:rFonts w:ascii="仿宋" w:hAnsi="仿宋" w:eastAsia="仿宋" w:cs="仿宋"/>
          <w:spacing w:val="-4"/>
          <w:sz w:val="32"/>
          <w:szCs w:val="32"/>
        </w:rPr>
        <w:t>准。</w:t>
      </w:r>
    </w:p>
    <w:p>
      <w:pPr>
        <w:pStyle w:val="2"/>
        <w:spacing w:before="129" w:line="223" w:lineRule="auto"/>
        <w:ind w:left="504"/>
        <w:outlineLvl w:val="1"/>
      </w:pPr>
      <w:bookmarkStart w:id="38" w:name="bookmark7"/>
      <w:bookmarkEnd w:id="38"/>
      <w:r>
        <w:rPr>
          <w:b/>
          <w:bCs/>
          <w:spacing w:val="7"/>
        </w:rPr>
        <w:t>(二)项目资金使用管理情况</w:t>
      </w:r>
    </w:p>
    <w:p>
      <w:pPr>
        <w:spacing w:before="209" w:line="222" w:lineRule="auto"/>
        <w:ind w:left="62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17"/>
          <w:sz w:val="32"/>
          <w:szCs w:val="32"/>
        </w:rPr>
        <w:t>1、</w:t>
      </w:r>
      <w:r>
        <w:rPr>
          <w:rFonts w:ascii="仿宋" w:hAnsi="仿宋" w:eastAsia="仿宋" w:cs="仿宋"/>
          <w:b/>
          <w:bCs/>
          <w:spacing w:val="-17"/>
          <w:sz w:val="32"/>
          <w:szCs w:val="32"/>
        </w:rPr>
        <w:t>项目资金拨付情况</w:t>
      </w:r>
    </w:p>
    <w:p>
      <w:pPr>
        <w:spacing w:before="212" w:line="222" w:lineRule="auto"/>
        <w:ind w:left="81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12"/>
          <w:sz w:val="32"/>
          <w:szCs w:val="32"/>
        </w:rPr>
        <w:t>(1)资金到位情况</w:t>
      </w:r>
    </w:p>
    <w:p>
      <w:pPr>
        <w:spacing w:before="221" w:line="333" w:lineRule="auto"/>
        <w:ind w:right="1192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项目资金的筹措渠道分为中央预算内政法基础设施建设资金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和地方财政配套资金。</w:t>
      </w:r>
    </w:p>
    <w:p>
      <w:pPr>
        <w:spacing w:before="46" w:line="343" w:lineRule="auto"/>
        <w:ind w:right="1184" w:firstLine="61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截止2022年7月，项目实施单位预算资金户累计收到市财政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局拨来的中央预算内政法基础设施建设资金3821万元(其中</w:t>
      </w:r>
      <w:r>
        <w:rPr>
          <w:rFonts w:ascii="仿宋" w:hAnsi="仿宋" w:eastAsia="仿宋" w:cs="仿宋"/>
          <w:spacing w:val="3"/>
          <w:sz w:val="32"/>
          <w:szCs w:val="32"/>
        </w:rPr>
        <w:t>中央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9"/>
          <w:sz w:val="32"/>
          <w:szCs w:val="32"/>
        </w:rPr>
        <w:t>预算内基建资金2821万元、抗疫特别国债资金1000万元),地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方配套资金1000万元，共到位项目资金</w:t>
      </w:r>
      <w:r>
        <w:rPr>
          <w:rFonts w:ascii="仿宋" w:hAnsi="仿宋" w:eastAsia="仿宋" w:cs="仿宋"/>
          <w:spacing w:val="8"/>
          <w:sz w:val="32"/>
          <w:szCs w:val="32"/>
        </w:rPr>
        <w:t>4821万元，资金到位率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3"/>
          <w:sz w:val="32"/>
          <w:szCs w:val="32"/>
        </w:rPr>
        <w:t>为85.43%,未到位地方配套资金822万元。另</w:t>
      </w:r>
      <w:r>
        <w:rPr>
          <w:rFonts w:ascii="仿宋" w:hAnsi="仿宋" w:eastAsia="仿宋" w:cs="仿宋"/>
          <w:spacing w:val="12"/>
          <w:sz w:val="32"/>
          <w:szCs w:val="32"/>
        </w:rPr>
        <w:t>外，2021年8月产</w:t>
      </w:r>
      <w:r>
        <w:rPr>
          <w:rFonts w:ascii="仿宋" w:hAnsi="仿宋" w:eastAsia="仿宋" w:cs="仿宋"/>
          <w:sz w:val="32"/>
          <w:szCs w:val="32"/>
        </w:rPr>
        <w:t xml:space="preserve"> 生专项资金银行利息收入0.23万元。</w:t>
      </w:r>
    </w:p>
    <w:p>
      <w:pPr>
        <w:spacing w:before="40" w:line="221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详情见下表：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43" w:line="188" w:lineRule="auto"/>
        <w:ind w:left="440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4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90" w:bottom="400" w:left="1499" w:header="0" w:footer="0" w:gutter="0"/>
          <w:cols w:space="720" w:num="1"/>
        </w:sectPr>
      </w:pPr>
    </w:p>
    <w:p>
      <w:pPr>
        <w:spacing w:before="249" w:line="215" w:lineRule="auto"/>
        <w:ind w:left="3708"/>
        <w:rPr>
          <w:rFonts w:ascii="宋体" w:hAnsi="宋体" w:eastAsia="宋体" w:cs="宋体"/>
          <w:sz w:val="28"/>
          <w:szCs w:val="28"/>
        </w:rPr>
      </w:pPr>
      <w:bookmarkStart w:id="39" w:name="bookmark34"/>
      <w:bookmarkEnd w:id="39"/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资金到位情况表</w:t>
      </w:r>
    </w:p>
    <w:tbl>
      <w:tblPr>
        <w:tblStyle w:val="5"/>
        <w:tblW w:w="8989" w:type="dxa"/>
        <w:tblInd w:w="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358"/>
        <w:gridCol w:w="2577"/>
        <w:gridCol w:w="3106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814" w:type="dxa"/>
            <w:vAlign w:val="top"/>
          </w:tcPr>
          <w:p>
            <w:pPr>
              <w:pStyle w:val="6"/>
              <w:spacing w:before="234" w:line="219" w:lineRule="auto"/>
              <w:ind w:left="155"/>
              <w:rPr>
                <w:sz w:val="24"/>
                <w:szCs w:val="24"/>
              </w:rPr>
            </w:pPr>
            <w:r>
              <w:rPr>
                <w:spacing w:val="7"/>
                <w:sz w:val="24"/>
                <w:szCs w:val="24"/>
              </w:rPr>
              <w:t>年度</w:t>
            </w:r>
          </w:p>
        </w:tc>
        <w:tc>
          <w:tcPr>
            <w:tcW w:w="1358" w:type="dxa"/>
            <w:vAlign w:val="top"/>
          </w:tcPr>
          <w:p>
            <w:pPr>
              <w:pStyle w:val="6"/>
              <w:spacing w:before="236" w:line="221" w:lineRule="auto"/>
              <w:ind w:left="190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下达时间</w:t>
            </w:r>
          </w:p>
        </w:tc>
        <w:tc>
          <w:tcPr>
            <w:tcW w:w="2577" w:type="dxa"/>
            <w:vAlign w:val="top"/>
          </w:tcPr>
          <w:p>
            <w:pPr>
              <w:pStyle w:val="6"/>
              <w:spacing w:before="235" w:line="220" w:lineRule="auto"/>
              <w:ind w:left="802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指标文号</w:t>
            </w:r>
          </w:p>
        </w:tc>
        <w:tc>
          <w:tcPr>
            <w:tcW w:w="3106" w:type="dxa"/>
            <w:vAlign w:val="top"/>
          </w:tcPr>
          <w:p>
            <w:pPr>
              <w:pStyle w:val="6"/>
              <w:spacing w:before="236" w:line="221" w:lineRule="auto"/>
              <w:ind w:left="1305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摘要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64" w:line="238" w:lineRule="auto"/>
              <w:ind w:left="199" w:right="151" w:firstLine="120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金额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pacing w:val="13"/>
                <w:sz w:val="24"/>
                <w:szCs w:val="24"/>
              </w:rPr>
              <w:t>(万元)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14" w:type="dxa"/>
            <w:vAlign w:val="top"/>
          </w:tcPr>
          <w:p>
            <w:pPr>
              <w:pStyle w:val="6"/>
              <w:spacing w:before="262" w:line="184" w:lineRule="auto"/>
              <w:ind w:left="15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2019</w:t>
            </w:r>
          </w:p>
        </w:tc>
        <w:tc>
          <w:tcPr>
            <w:tcW w:w="1358" w:type="dxa"/>
            <w:vAlign w:val="top"/>
          </w:tcPr>
          <w:p>
            <w:pPr>
              <w:pStyle w:val="6"/>
              <w:spacing w:before="262" w:line="184" w:lineRule="auto"/>
              <w:ind w:left="13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2019.7.19</w:t>
            </w:r>
          </w:p>
        </w:tc>
        <w:tc>
          <w:tcPr>
            <w:tcW w:w="2577" w:type="dxa"/>
            <w:vAlign w:val="top"/>
          </w:tcPr>
          <w:p>
            <w:pPr>
              <w:pStyle w:val="6"/>
              <w:spacing w:before="203" w:line="221" w:lineRule="auto"/>
              <w:ind w:left="143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湘财建指〔2019〕6号</w:t>
            </w:r>
          </w:p>
        </w:tc>
        <w:tc>
          <w:tcPr>
            <w:tcW w:w="3106" w:type="dxa"/>
            <w:vAlign w:val="top"/>
          </w:tcPr>
          <w:p>
            <w:pPr>
              <w:pStyle w:val="6"/>
              <w:spacing w:before="63" w:line="217" w:lineRule="auto"/>
              <w:ind w:left="465" w:right="98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2019地方政法基础设施建设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中央预算内基建资金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263" w:line="183" w:lineRule="auto"/>
              <w:ind w:left="32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14" w:type="dxa"/>
            <w:vAlign w:val="top"/>
          </w:tcPr>
          <w:p>
            <w:pPr>
              <w:pStyle w:val="6"/>
              <w:spacing w:before="245" w:line="183" w:lineRule="auto"/>
              <w:ind w:left="15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2020</w:t>
            </w:r>
          </w:p>
        </w:tc>
        <w:tc>
          <w:tcPr>
            <w:tcW w:w="1358" w:type="dxa"/>
            <w:vAlign w:val="top"/>
          </w:tcPr>
          <w:p>
            <w:pPr>
              <w:pStyle w:val="6"/>
              <w:spacing w:before="245" w:line="183" w:lineRule="auto"/>
              <w:ind w:left="13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2020.4.28</w:t>
            </w:r>
          </w:p>
        </w:tc>
        <w:tc>
          <w:tcPr>
            <w:tcW w:w="2577" w:type="dxa"/>
            <w:vAlign w:val="top"/>
          </w:tcPr>
          <w:p>
            <w:pPr>
              <w:pStyle w:val="6"/>
              <w:spacing w:before="184" w:line="219" w:lineRule="auto"/>
              <w:ind w:left="56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年初预算安排</w:t>
            </w:r>
          </w:p>
        </w:tc>
        <w:tc>
          <w:tcPr>
            <w:tcW w:w="3106" w:type="dxa"/>
            <w:vAlign w:val="top"/>
          </w:tcPr>
          <w:p>
            <w:pPr>
              <w:pStyle w:val="6"/>
              <w:spacing w:before="184" w:line="220" w:lineRule="auto"/>
              <w:ind w:left="58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地方财政配套资金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245" w:line="183" w:lineRule="auto"/>
              <w:ind w:left="38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14" w:type="dxa"/>
            <w:vAlign w:val="top"/>
          </w:tcPr>
          <w:p>
            <w:pPr>
              <w:pStyle w:val="6"/>
              <w:spacing w:before="226" w:line="183" w:lineRule="auto"/>
              <w:ind w:left="15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2020</w:t>
            </w:r>
          </w:p>
        </w:tc>
        <w:tc>
          <w:tcPr>
            <w:tcW w:w="1358" w:type="dxa"/>
            <w:vAlign w:val="top"/>
          </w:tcPr>
          <w:p>
            <w:pPr>
              <w:pStyle w:val="6"/>
              <w:spacing w:before="226" w:line="183" w:lineRule="auto"/>
              <w:ind w:left="19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2020.8.6</w:t>
            </w:r>
          </w:p>
        </w:tc>
        <w:tc>
          <w:tcPr>
            <w:tcW w:w="2577" w:type="dxa"/>
            <w:vAlign w:val="top"/>
          </w:tcPr>
          <w:p>
            <w:pPr>
              <w:pStyle w:val="6"/>
              <w:spacing w:before="165" w:line="220" w:lineRule="auto"/>
              <w:ind w:left="26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湘财预(2020)112号</w:t>
            </w:r>
          </w:p>
        </w:tc>
        <w:tc>
          <w:tcPr>
            <w:tcW w:w="3106" w:type="dxa"/>
            <w:vAlign w:val="top"/>
          </w:tcPr>
          <w:p>
            <w:pPr>
              <w:pStyle w:val="6"/>
              <w:spacing w:before="165" w:line="219" w:lineRule="auto"/>
              <w:ind w:left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2020年抗疫特别国债资金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225" w:line="184" w:lineRule="auto"/>
              <w:ind w:left="32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1000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14" w:type="dxa"/>
            <w:vAlign w:val="top"/>
          </w:tcPr>
          <w:p>
            <w:pPr>
              <w:pStyle w:val="6"/>
              <w:spacing w:before="267" w:line="183" w:lineRule="auto"/>
              <w:ind w:left="15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2020</w:t>
            </w:r>
          </w:p>
        </w:tc>
        <w:tc>
          <w:tcPr>
            <w:tcW w:w="1358" w:type="dxa"/>
            <w:vAlign w:val="top"/>
          </w:tcPr>
          <w:p>
            <w:pPr>
              <w:pStyle w:val="6"/>
              <w:spacing w:before="266" w:line="184" w:lineRule="auto"/>
              <w:ind w:left="13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2020.9.21</w:t>
            </w:r>
          </w:p>
        </w:tc>
        <w:tc>
          <w:tcPr>
            <w:tcW w:w="2577" w:type="dxa"/>
            <w:vAlign w:val="top"/>
          </w:tcPr>
          <w:p>
            <w:pPr>
              <w:pStyle w:val="6"/>
              <w:spacing w:before="207" w:line="221" w:lineRule="auto"/>
              <w:ind w:left="203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湘财建指(2020)61号</w:t>
            </w:r>
          </w:p>
        </w:tc>
        <w:tc>
          <w:tcPr>
            <w:tcW w:w="3106" w:type="dxa"/>
            <w:vAlign w:val="top"/>
          </w:tcPr>
          <w:p>
            <w:pPr>
              <w:pStyle w:val="6"/>
              <w:spacing w:before="37" w:line="227" w:lineRule="auto"/>
              <w:ind w:left="465" w:right="98"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2019地方政法基础设施建设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中央预算内基建资金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266" w:line="184" w:lineRule="auto"/>
              <w:ind w:left="38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821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14" w:type="dxa"/>
            <w:vAlign w:val="top"/>
          </w:tcPr>
          <w:p>
            <w:pPr>
              <w:pStyle w:val="6"/>
              <w:spacing w:before="239" w:line="183" w:lineRule="auto"/>
              <w:ind w:left="15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2020</w:t>
            </w:r>
          </w:p>
        </w:tc>
        <w:tc>
          <w:tcPr>
            <w:tcW w:w="1358" w:type="dxa"/>
            <w:vAlign w:val="top"/>
          </w:tcPr>
          <w:p>
            <w:pPr>
              <w:pStyle w:val="6"/>
              <w:spacing w:before="238" w:line="184" w:lineRule="auto"/>
              <w:ind w:left="7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2020.12.21</w:t>
            </w:r>
          </w:p>
        </w:tc>
        <w:tc>
          <w:tcPr>
            <w:tcW w:w="2577" w:type="dxa"/>
            <w:vAlign w:val="top"/>
          </w:tcPr>
          <w:p>
            <w:pPr>
              <w:pStyle w:val="6"/>
              <w:spacing w:before="178" w:line="219" w:lineRule="auto"/>
              <w:ind w:left="56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年初预算安排</w:t>
            </w:r>
          </w:p>
        </w:tc>
        <w:tc>
          <w:tcPr>
            <w:tcW w:w="3106" w:type="dxa"/>
            <w:vAlign w:val="top"/>
          </w:tcPr>
          <w:p>
            <w:pPr>
              <w:pStyle w:val="6"/>
              <w:spacing w:before="178" w:line="220" w:lineRule="auto"/>
              <w:ind w:left="58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地方财政配套资金</w:t>
            </w:r>
          </w:p>
        </w:tc>
        <w:tc>
          <w:tcPr>
            <w:tcW w:w="1134" w:type="dxa"/>
            <w:vAlign w:val="top"/>
          </w:tcPr>
          <w:p>
            <w:pPr>
              <w:pStyle w:val="6"/>
              <w:spacing w:before="239" w:line="183" w:lineRule="auto"/>
              <w:ind w:left="38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14" w:type="dxa"/>
            <w:vAlign w:val="top"/>
          </w:tcPr>
          <w:p>
            <w:pPr>
              <w:pStyle w:val="6"/>
              <w:spacing w:before="180" w:line="221" w:lineRule="auto"/>
              <w:ind w:left="155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合计</w:t>
            </w:r>
          </w:p>
        </w:tc>
        <w:tc>
          <w:tcPr>
            <w:tcW w:w="13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6"/>
              <w:spacing w:before="239" w:line="184" w:lineRule="auto"/>
              <w:ind w:left="32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4821</w:t>
            </w:r>
          </w:p>
        </w:tc>
      </w:tr>
    </w:tbl>
    <w:p>
      <w:pPr>
        <w:spacing w:before="171" w:line="222" w:lineRule="auto"/>
        <w:ind w:left="6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11"/>
          <w:sz w:val="32"/>
          <w:szCs w:val="32"/>
        </w:rPr>
        <w:t>(2)资金使用情况</w:t>
      </w:r>
    </w:p>
    <w:p>
      <w:pPr>
        <w:spacing w:before="179" w:line="222" w:lineRule="auto"/>
        <w:ind w:left="78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7"/>
          <w:sz w:val="32"/>
          <w:szCs w:val="32"/>
        </w:rPr>
        <w:t>截止至2022年7月，项目建设总支出4611.34万元，其中：</w:t>
      </w:r>
    </w:p>
    <w:p>
      <w:pPr>
        <w:spacing w:before="173" w:line="293" w:lineRule="auto"/>
        <w:ind w:left="144" w:right="1179" w:firstLine="6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①项目施工工程款：工程款支付方式是按合同约定的付款周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期和比例支付，累计已支付11期项目工程款，支付金额为4210.72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3"/>
          <w:sz w:val="32"/>
          <w:szCs w:val="32"/>
        </w:rPr>
        <w:t>万元(包括人工工资456.5万元),占合同价格的87.33%(项目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尚未进行决算审计，最终结算价格以审定结果为准);</w:t>
      </w:r>
    </w:p>
    <w:p>
      <w:pPr>
        <w:spacing w:before="198" w:line="276" w:lineRule="auto"/>
        <w:ind w:left="784" w:right="34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②项目建设其他费用累计支付400.62万元。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资金使用总体及分项情况见下表：</w:t>
      </w: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before="85" w:line="212" w:lineRule="auto"/>
        <w:ind w:left="3538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position w:val="1"/>
          <w:sz w:val="26"/>
          <w:szCs w:val="26"/>
        </w:rPr>
        <w:t>资金使用总体情况表</w:t>
      </w:r>
      <w:r>
        <w:rPr>
          <w:rFonts w:ascii="宋体" w:hAnsi="宋体" w:eastAsia="宋体" w:cs="宋体"/>
          <w:position w:val="1"/>
          <w:sz w:val="26"/>
          <w:szCs w:val="26"/>
        </w:rPr>
        <w:t xml:space="preserve">             </w:t>
      </w:r>
      <w:r>
        <w:rPr>
          <w:rFonts w:ascii="宋体" w:hAnsi="宋体" w:eastAsia="宋体" w:cs="宋体"/>
          <w:position w:val="-3"/>
          <w:sz w:val="26"/>
          <w:szCs w:val="26"/>
        </w:rPr>
        <w:t>单位：万元</w:t>
      </w:r>
    </w:p>
    <w:tbl>
      <w:tblPr>
        <w:tblStyle w:val="5"/>
        <w:tblW w:w="91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408"/>
        <w:gridCol w:w="1159"/>
        <w:gridCol w:w="929"/>
        <w:gridCol w:w="1159"/>
        <w:gridCol w:w="1368"/>
        <w:gridCol w:w="1249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64" w:type="dxa"/>
            <w:vAlign w:val="top"/>
          </w:tcPr>
          <w:p>
            <w:pPr>
              <w:pStyle w:val="6"/>
              <w:spacing w:before="213" w:line="219" w:lineRule="auto"/>
              <w:ind w:left="164"/>
            </w:pPr>
            <w:r>
              <w:rPr>
                <w:spacing w:val="6"/>
              </w:rPr>
              <w:t>年度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before="23" w:line="259" w:lineRule="auto"/>
              <w:ind w:left="480" w:right="488"/>
            </w:pPr>
            <w:r>
              <w:rPr>
                <w:spacing w:val="-5"/>
              </w:rPr>
              <w:t>上年</w:t>
            </w:r>
            <w:r>
              <w:t xml:space="preserve"> </w:t>
            </w:r>
            <w:r>
              <w:rPr>
                <w:spacing w:val="4"/>
              </w:rPr>
              <w:t>结转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23" w:line="259" w:lineRule="auto"/>
              <w:ind w:left="362" w:right="165" w:hanging="210"/>
            </w:pPr>
            <w:r>
              <w:rPr>
                <w:spacing w:val="-3"/>
              </w:rPr>
              <w:t>本年预算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批复</w:t>
            </w:r>
          </w:p>
        </w:tc>
        <w:tc>
          <w:tcPr>
            <w:tcW w:w="929" w:type="dxa"/>
            <w:vAlign w:val="top"/>
          </w:tcPr>
          <w:p>
            <w:pPr>
              <w:pStyle w:val="6"/>
              <w:spacing w:before="23" w:line="259" w:lineRule="auto"/>
              <w:ind w:left="243" w:right="246"/>
            </w:pPr>
            <w:r>
              <w:rPr>
                <w:spacing w:val="4"/>
              </w:rPr>
              <w:t>到位</w:t>
            </w:r>
            <w:r>
              <w:t xml:space="preserve"> </w:t>
            </w:r>
            <w:r>
              <w:rPr>
                <w:spacing w:val="4"/>
              </w:rPr>
              <w:t>资金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26" w:line="258" w:lineRule="auto"/>
              <w:ind w:left="254" w:right="254" w:firstLine="109"/>
            </w:pPr>
            <w:r>
              <w:rPr>
                <w:spacing w:val="4"/>
              </w:rPr>
              <w:t>资金</w:t>
            </w:r>
            <w:r>
              <w:t xml:space="preserve">  </w:t>
            </w:r>
            <w:r>
              <w:rPr>
                <w:spacing w:val="3"/>
              </w:rPr>
              <w:t>到位率</w:t>
            </w:r>
          </w:p>
        </w:tc>
        <w:tc>
          <w:tcPr>
            <w:tcW w:w="1368" w:type="dxa"/>
            <w:vAlign w:val="top"/>
          </w:tcPr>
          <w:p>
            <w:pPr>
              <w:pStyle w:val="6"/>
              <w:spacing w:before="23" w:line="259" w:lineRule="auto"/>
              <w:ind w:left="464" w:right="236" w:hanging="209"/>
            </w:pPr>
            <w:r>
              <w:rPr>
                <w:spacing w:val="6"/>
              </w:rPr>
              <w:t>实际支出</w:t>
            </w:r>
            <w:r>
              <w:t xml:space="preserve"> </w:t>
            </w:r>
            <w:r>
              <w:rPr>
                <w:spacing w:val="4"/>
              </w:rPr>
              <w:t>资金</w:t>
            </w:r>
          </w:p>
        </w:tc>
        <w:tc>
          <w:tcPr>
            <w:tcW w:w="1249" w:type="dxa"/>
            <w:vAlign w:val="top"/>
          </w:tcPr>
          <w:p>
            <w:pPr>
              <w:pStyle w:val="6"/>
              <w:spacing w:before="26" w:line="258" w:lineRule="auto"/>
              <w:ind w:left="307" w:right="309" w:firstLine="100"/>
            </w:pPr>
            <w:r>
              <w:rPr>
                <w:spacing w:val="4"/>
              </w:rPr>
              <w:t>资金</w:t>
            </w:r>
            <w:r>
              <w:t xml:space="preserve">  </w:t>
            </w:r>
            <w:r>
              <w:rPr>
                <w:spacing w:val="-3"/>
              </w:rPr>
              <w:t>执行率</w:t>
            </w:r>
          </w:p>
        </w:tc>
        <w:tc>
          <w:tcPr>
            <w:tcW w:w="1133" w:type="dxa"/>
            <w:vAlign w:val="top"/>
          </w:tcPr>
          <w:p>
            <w:pPr>
              <w:pStyle w:val="6"/>
              <w:spacing w:before="23" w:line="259" w:lineRule="auto"/>
              <w:ind w:left="348" w:right="345"/>
            </w:pPr>
            <w:r>
              <w:rPr>
                <w:spacing w:val="4"/>
              </w:rPr>
              <w:t>结转</w:t>
            </w:r>
            <w:r>
              <w:t xml:space="preserve"> </w:t>
            </w:r>
            <w:r>
              <w:rPr>
                <w:spacing w:val="4"/>
              </w:rPr>
              <w:t>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764" w:type="dxa"/>
            <w:vAlign w:val="top"/>
          </w:tcPr>
          <w:p>
            <w:pPr>
              <w:pStyle w:val="6"/>
              <w:spacing w:before="163" w:line="184" w:lineRule="auto"/>
              <w:ind w:left="164"/>
            </w:pPr>
            <w:r>
              <w:rPr>
                <w:spacing w:val="-3"/>
              </w:rPr>
              <w:t>2019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6"/>
              <w:spacing w:before="164" w:line="183" w:lineRule="auto"/>
              <w:ind w:left="362"/>
            </w:pPr>
            <w:r>
              <w:rPr>
                <w:spacing w:val="-3"/>
              </w:rPr>
              <w:t>2000</w:t>
            </w:r>
          </w:p>
        </w:tc>
        <w:tc>
          <w:tcPr>
            <w:tcW w:w="929" w:type="dxa"/>
            <w:vAlign w:val="top"/>
          </w:tcPr>
          <w:p>
            <w:pPr>
              <w:pStyle w:val="6"/>
              <w:spacing w:before="164" w:line="183" w:lineRule="auto"/>
              <w:ind w:left="243"/>
            </w:pPr>
            <w:r>
              <w:rPr>
                <w:spacing w:val="-3"/>
              </w:rPr>
              <w:t>2000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63" w:line="184" w:lineRule="auto"/>
              <w:ind w:left="364"/>
            </w:pPr>
            <w:r>
              <w:rPr>
                <w:spacing w:val="-5"/>
              </w:rPr>
              <w:t>100%</w:t>
            </w:r>
          </w:p>
        </w:tc>
        <w:tc>
          <w:tcPr>
            <w:tcW w:w="1368" w:type="dxa"/>
            <w:vAlign w:val="top"/>
          </w:tcPr>
          <w:p>
            <w:pPr>
              <w:pStyle w:val="6"/>
              <w:spacing w:before="164" w:line="183" w:lineRule="auto"/>
              <w:ind w:left="365"/>
            </w:pPr>
            <w:r>
              <w:rPr>
                <w:spacing w:val="-2"/>
              </w:rPr>
              <w:t>597.92</w:t>
            </w:r>
          </w:p>
        </w:tc>
        <w:tc>
          <w:tcPr>
            <w:tcW w:w="1249" w:type="dxa"/>
            <w:vAlign w:val="top"/>
          </w:tcPr>
          <w:p>
            <w:pPr>
              <w:pStyle w:val="6"/>
              <w:spacing w:before="164" w:line="183" w:lineRule="auto"/>
              <w:ind w:left="307"/>
            </w:pPr>
            <w:r>
              <w:rPr>
                <w:spacing w:val="-2"/>
              </w:rPr>
              <w:t>29.90%</w:t>
            </w:r>
          </w:p>
        </w:tc>
        <w:tc>
          <w:tcPr>
            <w:tcW w:w="1133" w:type="dxa"/>
            <w:vAlign w:val="top"/>
          </w:tcPr>
          <w:p>
            <w:pPr>
              <w:pStyle w:val="6"/>
              <w:spacing w:before="163" w:line="184" w:lineRule="auto"/>
              <w:ind w:left="188"/>
            </w:pPr>
            <w:r>
              <w:rPr>
                <w:spacing w:val="-3"/>
              </w:rPr>
              <w:t>1402.08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764" w:type="dxa"/>
            <w:vAlign w:val="top"/>
          </w:tcPr>
          <w:p>
            <w:pPr>
              <w:pStyle w:val="6"/>
              <w:spacing w:before="165" w:line="183" w:lineRule="auto"/>
              <w:ind w:left="164"/>
            </w:pPr>
            <w:r>
              <w:rPr>
                <w:spacing w:val="-3"/>
              </w:rPr>
              <w:t>2020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before="164" w:line="184" w:lineRule="auto"/>
              <w:ind w:left="320"/>
            </w:pPr>
            <w:r>
              <w:rPr>
                <w:spacing w:val="-3"/>
              </w:rPr>
              <w:t>1402.08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64" w:line="184" w:lineRule="auto"/>
              <w:ind w:left="362"/>
            </w:pPr>
            <w:r>
              <w:rPr>
                <w:spacing w:val="-3"/>
              </w:rPr>
              <w:t>2821</w:t>
            </w:r>
          </w:p>
        </w:tc>
        <w:tc>
          <w:tcPr>
            <w:tcW w:w="929" w:type="dxa"/>
            <w:vAlign w:val="top"/>
          </w:tcPr>
          <w:p>
            <w:pPr>
              <w:pStyle w:val="6"/>
              <w:spacing w:before="164" w:line="184" w:lineRule="auto"/>
              <w:ind w:left="243"/>
            </w:pPr>
            <w:r>
              <w:rPr>
                <w:spacing w:val="-3"/>
              </w:rPr>
              <w:t>2821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64" w:line="184" w:lineRule="auto"/>
              <w:ind w:left="364"/>
            </w:pPr>
            <w:r>
              <w:rPr>
                <w:spacing w:val="-5"/>
              </w:rPr>
              <w:t>100%</w:t>
            </w:r>
          </w:p>
        </w:tc>
        <w:tc>
          <w:tcPr>
            <w:tcW w:w="1368" w:type="dxa"/>
            <w:vAlign w:val="top"/>
          </w:tcPr>
          <w:p>
            <w:pPr>
              <w:pStyle w:val="6"/>
              <w:spacing w:before="165" w:line="183" w:lineRule="auto"/>
              <w:ind w:left="465"/>
            </w:pPr>
            <w:r>
              <w:rPr>
                <w:spacing w:val="-3"/>
              </w:rPr>
              <w:t>3309</w:t>
            </w:r>
          </w:p>
        </w:tc>
        <w:tc>
          <w:tcPr>
            <w:tcW w:w="1249" w:type="dxa"/>
            <w:vAlign w:val="top"/>
          </w:tcPr>
          <w:p>
            <w:pPr>
              <w:pStyle w:val="6"/>
              <w:spacing w:before="165" w:line="183" w:lineRule="auto"/>
              <w:ind w:left="307"/>
            </w:pPr>
            <w:r>
              <w:rPr>
                <w:spacing w:val="-2"/>
              </w:rPr>
              <w:t>78.35%</w:t>
            </w:r>
          </w:p>
        </w:tc>
        <w:tc>
          <w:tcPr>
            <w:tcW w:w="1133" w:type="dxa"/>
            <w:vAlign w:val="top"/>
          </w:tcPr>
          <w:p>
            <w:pPr>
              <w:pStyle w:val="6"/>
              <w:spacing w:before="164" w:line="184" w:lineRule="auto"/>
              <w:ind w:left="248"/>
            </w:pPr>
            <w:r>
              <w:rPr>
                <w:spacing w:val="-2"/>
              </w:rPr>
              <w:t>914.08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764" w:type="dxa"/>
            <w:vAlign w:val="top"/>
          </w:tcPr>
          <w:p>
            <w:pPr>
              <w:pStyle w:val="6"/>
              <w:spacing w:before="166" w:line="184" w:lineRule="auto"/>
              <w:ind w:left="164"/>
            </w:pPr>
            <w:r>
              <w:rPr>
                <w:spacing w:val="-3"/>
              </w:rPr>
              <w:t>2021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before="166" w:line="184" w:lineRule="auto"/>
              <w:ind w:left="380"/>
            </w:pPr>
            <w:r>
              <w:rPr>
                <w:spacing w:val="-2"/>
              </w:rPr>
              <w:t>914.08</w:t>
            </w: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8" w:type="dxa"/>
            <w:vAlign w:val="top"/>
          </w:tcPr>
          <w:p>
            <w:pPr>
              <w:pStyle w:val="6"/>
              <w:spacing w:before="167" w:line="183" w:lineRule="auto"/>
              <w:ind w:left="365"/>
            </w:pPr>
            <w:r>
              <w:rPr>
                <w:spacing w:val="-2"/>
              </w:rPr>
              <w:t>673.22</w:t>
            </w:r>
          </w:p>
        </w:tc>
        <w:tc>
          <w:tcPr>
            <w:tcW w:w="1249" w:type="dxa"/>
            <w:vAlign w:val="top"/>
          </w:tcPr>
          <w:p>
            <w:pPr>
              <w:pStyle w:val="6"/>
              <w:spacing w:before="167" w:line="183" w:lineRule="auto"/>
              <w:ind w:left="307"/>
            </w:pPr>
            <w:r>
              <w:rPr>
                <w:spacing w:val="-2"/>
              </w:rPr>
              <w:t>73.65%</w:t>
            </w:r>
          </w:p>
        </w:tc>
        <w:tc>
          <w:tcPr>
            <w:tcW w:w="1133" w:type="dxa"/>
            <w:vAlign w:val="top"/>
          </w:tcPr>
          <w:p>
            <w:pPr>
              <w:pStyle w:val="6"/>
              <w:spacing w:before="167" w:line="183" w:lineRule="auto"/>
              <w:ind w:left="248"/>
            </w:pPr>
            <w:r>
              <w:rPr>
                <w:spacing w:val="-2"/>
              </w:rPr>
              <w:t>240.86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764" w:type="dxa"/>
            <w:vAlign w:val="top"/>
          </w:tcPr>
          <w:p>
            <w:pPr>
              <w:pStyle w:val="6"/>
              <w:spacing w:before="169" w:line="183" w:lineRule="auto"/>
              <w:ind w:left="164"/>
            </w:pPr>
            <w:r>
              <w:rPr>
                <w:spacing w:val="-3"/>
              </w:rPr>
              <w:t>2022</w:t>
            </w:r>
          </w:p>
        </w:tc>
        <w:tc>
          <w:tcPr>
            <w:tcW w:w="1408" w:type="dxa"/>
            <w:vAlign w:val="top"/>
          </w:tcPr>
          <w:p>
            <w:pPr>
              <w:pStyle w:val="6"/>
              <w:spacing w:before="169" w:line="183" w:lineRule="auto"/>
              <w:ind w:left="380"/>
            </w:pPr>
            <w:r>
              <w:rPr>
                <w:spacing w:val="-2"/>
              </w:rPr>
              <w:t>240.86</w:t>
            </w: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8" w:type="dxa"/>
            <w:vAlign w:val="top"/>
          </w:tcPr>
          <w:p>
            <w:pPr>
              <w:pStyle w:val="6"/>
              <w:spacing w:before="168" w:line="184" w:lineRule="auto"/>
              <w:ind w:left="465"/>
            </w:pPr>
            <w:r>
              <w:rPr>
                <w:spacing w:val="-3"/>
              </w:rPr>
              <w:t>31.2</w:t>
            </w:r>
          </w:p>
        </w:tc>
        <w:tc>
          <w:tcPr>
            <w:tcW w:w="1249" w:type="dxa"/>
            <w:vAlign w:val="top"/>
          </w:tcPr>
          <w:p>
            <w:pPr>
              <w:pStyle w:val="6"/>
              <w:spacing w:before="168" w:line="184" w:lineRule="auto"/>
              <w:ind w:left="307"/>
            </w:pPr>
            <w:r>
              <w:rPr>
                <w:spacing w:val="-4"/>
              </w:rPr>
              <w:t>12.95%</w:t>
            </w:r>
          </w:p>
        </w:tc>
        <w:tc>
          <w:tcPr>
            <w:tcW w:w="1133" w:type="dxa"/>
            <w:vAlign w:val="top"/>
          </w:tcPr>
          <w:p>
            <w:pPr>
              <w:pStyle w:val="6"/>
              <w:spacing w:before="169" w:line="183" w:lineRule="auto"/>
              <w:ind w:left="248"/>
            </w:pPr>
            <w:r>
              <w:rPr>
                <w:spacing w:val="-2"/>
              </w:rPr>
              <w:t>209.66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64" w:type="dxa"/>
            <w:vAlign w:val="top"/>
          </w:tcPr>
          <w:p>
            <w:pPr>
              <w:pStyle w:val="6"/>
              <w:spacing w:before="127" w:line="221" w:lineRule="auto"/>
              <w:ind w:left="164"/>
            </w:pPr>
            <w:r>
              <w:rPr>
                <w:spacing w:val="-3"/>
              </w:rPr>
              <w:t>合计</w:t>
            </w:r>
          </w:p>
        </w:tc>
        <w:tc>
          <w:tcPr>
            <w:tcW w:w="14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>
            <w:pPr>
              <w:pStyle w:val="6"/>
              <w:spacing w:before="179" w:line="184" w:lineRule="auto"/>
              <w:ind w:left="362"/>
            </w:pPr>
            <w:r>
              <w:rPr>
                <w:spacing w:val="-2"/>
              </w:rPr>
              <w:t>4821</w:t>
            </w:r>
          </w:p>
        </w:tc>
        <w:tc>
          <w:tcPr>
            <w:tcW w:w="929" w:type="dxa"/>
            <w:vAlign w:val="top"/>
          </w:tcPr>
          <w:p>
            <w:pPr>
              <w:pStyle w:val="6"/>
              <w:spacing w:before="179" w:line="184" w:lineRule="auto"/>
              <w:ind w:left="243"/>
            </w:pPr>
            <w:r>
              <w:rPr>
                <w:spacing w:val="-2"/>
              </w:rPr>
              <w:t>4821</w:t>
            </w:r>
          </w:p>
        </w:tc>
        <w:tc>
          <w:tcPr>
            <w:tcW w:w="1159" w:type="dxa"/>
            <w:vAlign w:val="top"/>
          </w:tcPr>
          <w:p>
            <w:pPr>
              <w:pStyle w:val="6"/>
              <w:spacing w:before="179" w:line="184" w:lineRule="auto"/>
              <w:ind w:left="364"/>
            </w:pPr>
            <w:r>
              <w:rPr>
                <w:spacing w:val="-5"/>
              </w:rPr>
              <w:t>100%</w:t>
            </w:r>
          </w:p>
        </w:tc>
        <w:tc>
          <w:tcPr>
            <w:tcW w:w="1368" w:type="dxa"/>
            <w:vAlign w:val="top"/>
          </w:tcPr>
          <w:p>
            <w:pPr>
              <w:pStyle w:val="6"/>
              <w:spacing w:before="179" w:line="184" w:lineRule="auto"/>
              <w:ind w:left="305"/>
            </w:pPr>
            <w:r>
              <w:rPr>
                <w:spacing w:val="-1"/>
              </w:rPr>
              <w:t>4611.34</w:t>
            </w:r>
          </w:p>
        </w:tc>
        <w:tc>
          <w:tcPr>
            <w:tcW w:w="1249" w:type="dxa"/>
            <w:vAlign w:val="top"/>
          </w:tcPr>
          <w:p>
            <w:pPr>
              <w:pStyle w:val="6"/>
              <w:spacing w:before="180" w:line="183" w:lineRule="auto"/>
              <w:ind w:left="307"/>
            </w:pPr>
            <w:r>
              <w:rPr>
                <w:spacing w:val="-1"/>
              </w:rPr>
              <w:t>95.65%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41" w:line="185" w:lineRule="auto"/>
        <w:ind w:left="452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5</w:t>
      </w:r>
    </w:p>
    <w:p>
      <w:pPr>
        <w:spacing w:line="185" w:lineRule="auto"/>
        <w:rPr>
          <w:rFonts w:ascii="Times New Roman" w:hAnsi="Times New Roman" w:eastAsia="Times New Roman" w:cs="Times New Roman"/>
          <w:sz w:val="14"/>
          <w:szCs w:val="14"/>
        </w:rPr>
        <w:sectPr>
          <w:pgSz w:w="11900" w:h="16820"/>
          <w:pgMar w:top="1429" w:right="260" w:bottom="400" w:left="1355" w:header="0" w:footer="0" w:gutter="0"/>
          <w:cols w:space="720" w:num="1"/>
        </w:sectPr>
      </w:pPr>
    </w:p>
    <w:p>
      <w:pPr>
        <w:spacing w:before="247" w:line="216" w:lineRule="auto"/>
        <w:ind w:left="3008"/>
        <w:rPr>
          <w:rFonts w:ascii="宋体" w:hAnsi="宋体" w:eastAsia="宋体" w:cs="宋体"/>
          <w:sz w:val="28"/>
          <w:szCs w:val="28"/>
        </w:rPr>
      </w:pPr>
      <w:bookmarkStart w:id="40" w:name="bookmark35"/>
      <w:bookmarkEnd w:id="40"/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项目施工工程款支付情况表</w:t>
      </w:r>
    </w:p>
    <w:tbl>
      <w:tblPr>
        <w:tblStyle w:val="5"/>
        <w:tblW w:w="91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1338"/>
        <w:gridCol w:w="5843"/>
        <w:gridCol w:w="1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4" w:line="221" w:lineRule="auto"/>
              <w:ind w:left="194"/>
            </w:pPr>
            <w:r>
              <w:rPr>
                <w:spacing w:val="6"/>
              </w:rPr>
              <w:t>序号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4" w:line="220" w:lineRule="auto"/>
              <w:ind w:left="450"/>
            </w:pPr>
            <w:r>
              <w:rPr>
                <w:spacing w:val="12"/>
              </w:rPr>
              <w:t>日期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223" w:line="219" w:lineRule="auto"/>
              <w:ind w:left="2492"/>
            </w:pPr>
            <w:r>
              <w:rPr>
                <w:spacing w:val="-2"/>
              </w:rPr>
              <w:t>使用内容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62" w:line="243" w:lineRule="auto"/>
              <w:ind w:left="269" w:right="218" w:firstLine="100"/>
            </w:pPr>
            <w:r>
              <w:rPr>
                <w:spacing w:val="-5"/>
              </w:rPr>
              <w:t>金额</w:t>
            </w:r>
            <w:r>
              <w:t xml:space="preserve">  </w:t>
            </w:r>
            <w:r>
              <w:rPr>
                <w:spacing w:val="11"/>
              </w:rPr>
              <w:t>(万元)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32" w:line="184" w:lineRule="auto"/>
              <w:ind w:left="344"/>
            </w:pPr>
            <w:r>
              <w:t>1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32" w:line="184" w:lineRule="auto"/>
              <w:ind w:left="130"/>
            </w:pPr>
            <w:r>
              <w:rPr>
                <w:spacing w:val="-1"/>
              </w:rPr>
              <w:t>2019.11.30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9" w:line="219" w:lineRule="auto"/>
              <w:ind w:left="2392"/>
            </w:pPr>
            <w:r>
              <w:rPr>
                <w:spacing w:val="-2"/>
              </w:rPr>
              <w:t>预付工程款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32" w:line="184" w:lineRule="auto"/>
              <w:ind w:left="269"/>
            </w:pPr>
            <w:r>
              <w:rPr>
                <w:spacing w:val="-2"/>
              </w:rPr>
              <w:t>482.19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3" w:line="183" w:lineRule="auto"/>
              <w:ind w:left="344"/>
            </w:pPr>
            <w:r>
              <w:t>2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2" w:line="184" w:lineRule="auto"/>
              <w:ind w:left="180"/>
            </w:pPr>
            <w:r>
              <w:rPr>
                <w:spacing w:val="-2"/>
              </w:rPr>
              <w:t>2020.1.31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69" w:line="219" w:lineRule="auto"/>
              <w:ind w:left="2072"/>
            </w:pPr>
            <w:r>
              <w:rPr>
                <w:spacing w:val="1"/>
              </w:rPr>
              <w:t>项目第一期工程费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3" w:line="183" w:lineRule="auto"/>
              <w:ind w:left="269"/>
            </w:pPr>
            <w:r>
              <w:rPr>
                <w:spacing w:val="-2"/>
              </w:rPr>
              <w:t>465.36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3" w:line="183" w:lineRule="auto"/>
              <w:ind w:left="344"/>
            </w:pPr>
            <w:r>
              <w:t>3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3" w:line="183" w:lineRule="auto"/>
              <w:ind w:left="180"/>
            </w:pPr>
            <w:r>
              <w:rPr>
                <w:spacing w:val="-2"/>
              </w:rPr>
              <w:t>2020.4.26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69" w:line="219" w:lineRule="auto"/>
              <w:ind w:left="2072"/>
            </w:pPr>
            <w:r>
              <w:rPr>
                <w:spacing w:val="1"/>
              </w:rPr>
              <w:t>项目第二期工程费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2" w:line="184" w:lineRule="auto"/>
              <w:ind w:left="269"/>
            </w:pPr>
            <w:r>
              <w:rPr>
                <w:spacing w:val="-2"/>
              </w:rPr>
              <w:t>543.11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3" w:line="183" w:lineRule="auto"/>
              <w:ind w:left="344"/>
            </w:pPr>
            <w:r>
              <w:t>4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3" w:line="183" w:lineRule="auto"/>
              <w:ind w:left="240"/>
            </w:pPr>
            <w:r>
              <w:rPr>
                <w:spacing w:val="-2"/>
              </w:rPr>
              <w:t>2020.6.2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69" w:line="219" w:lineRule="auto"/>
              <w:ind w:left="2072"/>
            </w:pPr>
            <w:r>
              <w:rPr>
                <w:spacing w:val="1"/>
              </w:rPr>
              <w:t>项目第三期工程费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3" w:line="183" w:lineRule="auto"/>
              <w:ind w:left="269"/>
            </w:pPr>
            <w:r>
              <w:rPr>
                <w:spacing w:val="-2"/>
              </w:rPr>
              <w:t>570.90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36" w:line="182" w:lineRule="auto"/>
              <w:ind w:left="344"/>
            </w:pPr>
            <w:r>
              <w:t>5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33" w:line="184" w:lineRule="auto"/>
              <w:ind w:left="240"/>
            </w:pPr>
            <w:r>
              <w:rPr>
                <w:spacing w:val="-2"/>
              </w:rPr>
              <w:t>2020.7.1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81" w:line="221" w:lineRule="auto"/>
              <w:ind w:left="2392"/>
            </w:pPr>
            <w:r>
              <w:rPr>
                <w:spacing w:val="3"/>
              </w:rPr>
              <w:t>农民工工资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34" w:line="183" w:lineRule="auto"/>
              <w:ind w:left="320"/>
            </w:pPr>
            <w:r>
              <w:rPr>
                <w:spacing w:val="-2"/>
              </w:rPr>
              <w:t>30.80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4" w:line="183" w:lineRule="auto"/>
              <w:ind w:left="344"/>
            </w:pPr>
            <w:r>
              <w:t>6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3" w:line="184" w:lineRule="auto"/>
              <w:ind w:left="240"/>
            </w:pPr>
            <w:r>
              <w:rPr>
                <w:spacing w:val="-2"/>
              </w:rPr>
              <w:t>2020.7.1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0" w:line="219" w:lineRule="auto"/>
              <w:ind w:left="2072"/>
            </w:pPr>
            <w:r>
              <w:rPr>
                <w:spacing w:val="1"/>
              </w:rPr>
              <w:t>项目第四期工程费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4" w:line="183" w:lineRule="auto"/>
              <w:ind w:left="320"/>
            </w:pPr>
            <w:r>
              <w:rPr>
                <w:spacing w:val="-2"/>
              </w:rPr>
              <w:t>92.08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16" w:line="182" w:lineRule="auto"/>
              <w:ind w:left="344"/>
            </w:pPr>
            <w:r>
              <w:t>7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14" w:line="184" w:lineRule="auto"/>
              <w:ind w:left="180"/>
            </w:pPr>
            <w:r>
              <w:rPr>
                <w:spacing w:val="-2"/>
              </w:rPr>
              <w:t>2020.8.17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62" w:line="221" w:lineRule="auto"/>
              <w:ind w:left="2392"/>
            </w:pPr>
            <w:r>
              <w:rPr>
                <w:spacing w:val="3"/>
              </w:rPr>
              <w:t>农民工工资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14" w:line="184" w:lineRule="auto"/>
              <w:ind w:left="320"/>
            </w:pPr>
            <w:r>
              <w:rPr>
                <w:spacing w:val="-2"/>
              </w:rPr>
              <w:t>66.01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5" w:line="183" w:lineRule="auto"/>
              <w:ind w:left="344"/>
            </w:pPr>
            <w:r>
              <w:t>8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4" w:line="184" w:lineRule="auto"/>
              <w:ind w:left="180"/>
            </w:pPr>
            <w:r>
              <w:rPr>
                <w:spacing w:val="-2"/>
              </w:rPr>
              <w:t>2020.8.17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1" w:line="219" w:lineRule="auto"/>
              <w:ind w:left="2072"/>
            </w:pPr>
            <w:r>
              <w:rPr>
                <w:spacing w:val="1"/>
              </w:rPr>
              <w:t>项目第五期工程费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4" w:line="184" w:lineRule="auto"/>
              <w:ind w:left="269"/>
            </w:pPr>
            <w:r>
              <w:rPr>
                <w:spacing w:val="-4"/>
              </w:rPr>
              <w:t>150.04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36" w:line="183" w:lineRule="auto"/>
              <w:ind w:left="344"/>
            </w:pPr>
            <w:r>
              <w:t>9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35" w:line="184" w:lineRule="auto"/>
              <w:ind w:left="180"/>
            </w:pPr>
            <w:r>
              <w:rPr>
                <w:spacing w:val="-2"/>
              </w:rPr>
              <w:t>2020.9.10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83" w:line="221" w:lineRule="auto"/>
              <w:ind w:left="2392"/>
            </w:pPr>
            <w:r>
              <w:rPr>
                <w:spacing w:val="3"/>
              </w:rPr>
              <w:t>农民工工资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35" w:line="184" w:lineRule="auto"/>
              <w:ind w:left="269"/>
            </w:pPr>
            <w:r>
              <w:rPr>
                <w:spacing w:val="-4"/>
              </w:rPr>
              <w:t>132.26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5" w:line="184" w:lineRule="auto"/>
              <w:ind w:left="295"/>
            </w:pPr>
            <w:r>
              <w:rPr>
                <w:spacing w:val="-6"/>
              </w:rPr>
              <w:t>10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5" w:line="184" w:lineRule="auto"/>
              <w:ind w:left="180"/>
            </w:pPr>
            <w:r>
              <w:rPr>
                <w:spacing w:val="-2"/>
              </w:rPr>
              <w:t>2020.9.11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2" w:line="219" w:lineRule="auto"/>
              <w:ind w:left="2072"/>
            </w:pPr>
            <w:r>
              <w:rPr>
                <w:spacing w:val="1"/>
              </w:rPr>
              <w:t>项目第六期工程费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5" w:line="184" w:lineRule="auto"/>
              <w:ind w:left="269"/>
            </w:pPr>
            <w:r>
              <w:rPr>
                <w:spacing w:val="-2"/>
              </w:rPr>
              <w:t>411.77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5" w:line="184" w:lineRule="auto"/>
              <w:ind w:left="295"/>
            </w:pPr>
            <w:r>
              <w:rPr>
                <w:spacing w:val="-6"/>
              </w:rPr>
              <w:t>11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5" w:line="184" w:lineRule="auto"/>
              <w:ind w:left="130"/>
            </w:pPr>
            <w:r>
              <w:rPr>
                <w:spacing w:val="-1"/>
              </w:rPr>
              <w:t>2020.10.28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3" w:line="221" w:lineRule="auto"/>
              <w:ind w:left="2392"/>
            </w:pPr>
            <w:r>
              <w:rPr>
                <w:spacing w:val="3"/>
              </w:rPr>
              <w:t>农民工工资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6" w:line="183" w:lineRule="auto"/>
              <w:ind w:left="320"/>
            </w:pPr>
            <w:r>
              <w:rPr>
                <w:spacing w:val="-2"/>
              </w:rPr>
              <w:t>67.43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5" w:line="184" w:lineRule="auto"/>
              <w:ind w:left="295"/>
            </w:pPr>
            <w:r>
              <w:rPr>
                <w:spacing w:val="-6"/>
              </w:rPr>
              <w:t>12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5" w:line="184" w:lineRule="auto"/>
              <w:ind w:left="130"/>
            </w:pPr>
            <w:r>
              <w:rPr>
                <w:spacing w:val="-1"/>
              </w:rPr>
              <w:t>2020.10.28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2" w:line="219" w:lineRule="auto"/>
              <w:ind w:left="2072"/>
            </w:pPr>
            <w:r>
              <w:rPr>
                <w:spacing w:val="1"/>
              </w:rPr>
              <w:t>项目第七期工程费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5" w:line="184" w:lineRule="auto"/>
              <w:ind w:left="269"/>
            </w:pPr>
            <w:r>
              <w:rPr>
                <w:spacing w:val="-4"/>
              </w:rPr>
              <w:t>128.77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6" w:line="184" w:lineRule="auto"/>
              <w:ind w:left="295"/>
            </w:pPr>
            <w:r>
              <w:rPr>
                <w:spacing w:val="-6"/>
              </w:rPr>
              <w:t>13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6" w:line="184" w:lineRule="auto"/>
              <w:ind w:left="180"/>
            </w:pPr>
            <w:r>
              <w:rPr>
                <w:spacing w:val="-2"/>
              </w:rPr>
              <w:t>2020.12.7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4" w:line="221" w:lineRule="auto"/>
              <w:ind w:left="2392"/>
            </w:pPr>
            <w:r>
              <w:rPr>
                <w:spacing w:val="3"/>
              </w:rPr>
              <w:t>农民工工资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7" w:line="183" w:lineRule="auto"/>
              <w:ind w:left="320"/>
            </w:pPr>
            <w:r>
              <w:rPr>
                <w:spacing w:val="-2"/>
              </w:rPr>
              <w:t>30.00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6" w:line="184" w:lineRule="auto"/>
              <w:ind w:left="295"/>
            </w:pPr>
            <w:r>
              <w:rPr>
                <w:spacing w:val="-6"/>
              </w:rPr>
              <w:t>14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6" w:line="184" w:lineRule="auto"/>
              <w:ind w:left="180"/>
            </w:pPr>
            <w:r>
              <w:rPr>
                <w:spacing w:val="-2"/>
              </w:rPr>
              <w:t>2020.12.7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3" w:line="219" w:lineRule="auto"/>
              <w:ind w:left="2072"/>
            </w:pPr>
            <w:r>
              <w:rPr>
                <w:spacing w:val="1"/>
              </w:rPr>
              <w:t>项目第八期工程费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6" w:line="184" w:lineRule="auto"/>
              <w:ind w:left="269"/>
            </w:pPr>
            <w:r>
              <w:rPr>
                <w:spacing w:val="-4"/>
              </w:rPr>
              <w:t>180.00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7" w:line="184" w:lineRule="auto"/>
              <w:ind w:left="295"/>
            </w:pPr>
            <w:r>
              <w:rPr>
                <w:spacing w:val="-6"/>
              </w:rPr>
              <w:t>15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7" w:line="184" w:lineRule="auto"/>
              <w:ind w:left="130"/>
            </w:pPr>
            <w:r>
              <w:rPr>
                <w:spacing w:val="-1"/>
              </w:rPr>
              <w:t>2020.12.23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5" w:line="221" w:lineRule="auto"/>
              <w:ind w:left="2392"/>
            </w:pPr>
            <w:r>
              <w:rPr>
                <w:spacing w:val="3"/>
              </w:rPr>
              <w:t>农民工工资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8" w:line="183" w:lineRule="auto"/>
              <w:ind w:left="320"/>
            </w:pPr>
            <w:r>
              <w:rPr>
                <w:spacing w:val="-2"/>
              </w:rPr>
              <w:t>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7" w:line="184" w:lineRule="auto"/>
              <w:ind w:left="295"/>
            </w:pPr>
            <w:r>
              <w:rPr>
                <w:spacing w:val="-6"/>
              </w:rPr>
              <w:t>16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7" w:line="184" w:lineRule="auto"/>
              <w:ind w:left="130"/>
            </w:pPr>
            <w:r>
              <w:rPr>
                <w:spacing w:val="-1"/>
              </w:rPr>
              <w:t>2020.12.23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4" w:line="219" w:lineRule="auto"/>
              <w:ind w:left="2072"/>
            </w:pPr>
            <w:r>
              <w:rPr>
                <w:spacing w:val="1"/>
              </w:rPr>
              <w:t>项目第九期工程费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27" w:line="184" w:lineRule="auto"/>
              <w:ind w:left="269"/>
            </w:pPr>
            <w:r>
              <w:rPr>
                <w:spacing w:val="-4"/>
              </w:rPr>
              <w:t>150.00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38" w:line="184" w:lineRule="auto"/>
              <w:ind w:left="295"/>
            </w:pPr>
            <w:r>
              <w:rPr>
                <w:spacing w:val="-6"/>
              </w:rPr>
              <w:t>17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38" w:line="184" w:lineRule="auto"/>
              <w:ind w:left="240"/>
            </w:pPr>
            <w:r>
              <w:rPr>
                <w:spacing w:val="-2"/>
              </w:rPr>
              <w:t>2021.2.5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86" w:line="221" w:lineRule="auto"/>
              <w:ind w:left="2392"/>
            </w:pPr>
            <w:r>
              <w:rPr>
                <w:spacing w:val="3"/>
              </w:rPr>
              <w:t>农民工工资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38" w:line="184" w:lineRule="auto"/>
              <w:ind w:left="320"/>
            </w:pPr>
            <w:r>
              <w:rPr>
                <w:spacing w:val="-2"/>
              </w:rPr>
              <w:t>46.71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29" w:line="184" w:lineRule="auto"/>
              <w:ind w:left="295"/>
            </w:pPr>
            <w:r>
              <w:rPr>
                <w:spacing w:val="-6"/>
              </w:rPr>
              <w:t>18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29" w:line="184" w:lineRule="auto"/>
              <w:ind w:left="240"/>
            </w:pPr>
            <w:r>
              <w:rPr>
                <w:spacing w:val="-2"/>
              </w:rPr>
              <w:t>2021.2.5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7" w:line="221" w:lineRule="auto"/>
              <w:ind w:left="2392"/>
            </w:pPr>
            <w:r>
              <w:rPr>
                <w:spacing w:val="3"/>
              </w:rPr>
              <w:t>农民工工资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30" w:line="183" w:lineRule="auto"/>
              <w:ind w:left="320"/>
            </w:pPr>
            <w:r>
              <w:rPr>
                <w:spacing w:val="-2"/>
              </w:rPr>
              <w:t>33.29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30" w:line="184" w:lineRule="auto"/>
              <w:ind w:left="295"/>
            </w:pPr>
            <w:r>
              <w:rPr>
                <w:spacing w:val="-6"/>
              </w:rPr>
              <w:t>19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30" w:line="184" w:lineRule="auto"/>
              <w:ind w:left="240"/>
            </w:pPr>
            <w:r>
              <w:rPr>
                <w:spacing w:val="-2"/>
              </w:rPr>
              <w:t>2021.2.5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77" w:line="219" w:lineRule="auto"/>
              <w:ind w:left="2072"/>
            </w:pPr>
            <w:r>
              <w:rPr>
                <w:spacing w:val="1"/>
              </w:rPr>
              <w:t>项目第十期工程费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31" w:line="183" w:lineRule="auto"/>
              <w:ind w:left="269"/>
            </w:pPr>
            <w:r>
              <w:rPr>
                <w:spacing w:val="-2"/>
              </w:rPr>
              <w:t>320.00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24" w:type="dxa"/>
            <w:vAlign w:val="top"/>
          </w:tcPr>
          <w:p>
            <w:pPr>
              <w:pStyle w:val="6"/>
              <w:spacing w:before="241" w:line="183" w:lineRule="auto"/>
              <w:ind w:left="295"/>
            </w:pPr>
            <w:r>
              <w:rPr>
                <w:spacing w:val="-3"/>
              </w:rPr>
              <w:t>20</w:t>
            </w:r>
          </w:p>
        </w:tc>
        <w:tc>
          <w:tcPr>
            <w:tcW w:w="1338" w:type="dxa"/>
            <w:vAlign w:val="top"/>
          </w:tcPr>
          <w:p>
            <w:pPr>
              <w:pStyle w:val="6"/>
              <w:spacing w:before="240" w:line="184" w:lineRule="auto"/>
              <w:ind w:left="240"/>
            </w:pPr>
            <w:r>
              <w:rPr>
                <w:spacing w:val="-2"/>
              </w:rPr>
              <w:t>2021.9.7</w:t>
            </w:r>
          </w:p>
        </w:tc>
        <w:tc>
          <w:tcPr>
            <w:tcW w:w="5843" w:type="dxa"/>
            <w:vAlign w:val="top"/>
          </w:tcPr>
          <w:p>
            <w:pPr>
              <w:pStyle w:val="6"/>
              <w:spacing w:before="187" w:line="219" w:lineRule="auto"/>
              <w:ind w:left="1972"/>
            </w:pPr>
            <w:r>
              <w:rPr>
                <w:spacing w:val="1"/>
              </w:rPr>
              <w:t>项目第十一期工程费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41" w:line="183" w:lineRule="auto"/>
              <w:ind w:left="269"/>
            </w:pPr>
            <w:r>
              <w:rPr>
                <w:spacing w:val="-2"/>
              </w:rPr>
              <w:t>260.00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8005" w:type="dxa"/>
            <w:gridSpan w:val="3"/>
            <w:vAlign w:val="top"/>
          </w:tcPr>
          <w:p>
            <w:pPr>
              <w:pStyle w:val="6"/>
              <w:spacing w:before="179" w:line="221" w:lineRule="auto"/>
              <w:ind w:left="3774"/>
            </w:pPr>
            <w:r>
              <w:rPr>
                <w:spacing w:val="-3"/>
              </w:rPr>
              <w:t>合计</w:t>
            </w:r>
          </w:p>
        </w:tc>
        <w:tc>
          <w:tcPr>
            <w:tcW w:w="1174" w:type="dxa"/>
            <w:vAlign w:val="top"/>
          </w:tcPr>
          <w:p>
            <w:pPr>
              <w:pStyle w:val="6"/>
              <w:spacing w:before="231" w:line="184" w:lineRule="auto"/>
              <w:ind w:left="209"/>
            </w:pPr>
            <w:r>
              <w:rPr>
                <w:spacing w:val="-1"/>
              </w:rPr>
              <w:t>4210.72</w:t>
            </w:r>
          </w:p>
        </w:tc>
      </w:tr>
    </w:tbl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40" w:line="188" w:lineRule="auto"/>
        <w:ind w:left="453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6</w:t>
      </w:r>
    </w:p>
    <w:p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pgSz w:w="11900" w:h="16820"/>
          <w:pgMar w:top="1429" w:right="230" w:bottom="400" w:left="1345" w:header="0" w:footer="0" w:gutter="0"/>
          <w:cols w:space="720" w:num="1"/>
        </w:sectPr>
      </w:pPr>
    </w:p>
    <w:p>
      <w:pPr>
        <w:spacing w:before="246" w:line="210" w:lineRule="auto"/>
        <w:ind w:left="2748"/>
        <w:outlineLvl w:val="2"/>
        <w:rPr>
          <w:rFonts w:ascii="宋体" w:hAnsi="宋体" w:eastAsia="宋体" w:cs="宋体"/>
          <w:sz w:val="28"/>
          <w:szCs w:val="28"/>
        </w:rPr>
      </w:pPr>
      <w:bookmarkStart w:id="41" w:name="bookmark11"/>
      <w:bookmarkEnd w:id="41"/>
      <w:bookmarkStart w:id="42" w:name="bookmark36"/>
      <w:bookmarkEnd w:id="42"/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项目建设其他费用支付情况表</w:t>
      </w:r>
    </w:p>
    <w:tbl>
      <w:tblPr>
        <w:tblStyle w:val="5"/>
        <w:tblW w:w="90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3"/>
        <w:gridCol w:w="5793"/>
        <w:gridCol w:w="11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093" w:type="dxa"/>
            <w:vAlign w:val="top"/>
          </w:tcPr>
          <w:p>
            <w:pPr>
              <w:pStyle w:val="6"/>
              <w:spacing w:before="205" w:line="221" w:lineRule="auto"/>
              <w:ind w:left="805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序号</w:t>
            </w:r>
          </w:p>
        </w:tc>
        <w:tc>
          <w:tcPr>
            <w:tcW w:w="5793" w:type="dxa"/>
            <w:vAlign w:val="top"/>
          </w:tcPr>
          <w:p>
            <w:pPr>
              <w:pStyle w:val="6"/>
              <w:spacing w:before="204" w:line="219" w:lineRule="auto"/>
              <w:ind w:left="2431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使用内容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73" w:line="219" w:lineRule="auto"/>
              <w:ind w:left="238" w:right="183" w:firstLine="110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金额</w:t>
            </w:r>
            <w:r>
              <w:rPr>
                <w:sz w:val="23"/>
                <w:szCs w:val="23"/>
              </w:rPr>
              <w:t xml:space="preserve">  </w:t>
            </w:r>
            <w:r>
              <w:rPr>
                <w:spacing w:val="12"/>
                <w:sz w:val="23"/>
                <w:szCs w:val="23"/>
              </w:rPr>
              <w:t>(万元)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093" w:type="dxa"/>
            <w:vAlign w:val="top"/>
          </w:tcPr>
          <w:p>
            <w:pPr>
              <w:pStyle w:val="6"/>
              <w:spacing w:before="199" w:line="184" w:lineRule="auto"/>
              <w:ind w:left="974"/>
              <w:outlineLvl w:val="2"/>
              <w:rPr>
                <w:sz w:val="23"/>
                <w:szCs w:val="23"/>
              </w:rPr>
            </w:pPr>
            <w:bookmarkStart w:id="43" w:name="bookmark10"/>
            <w:bookmarkEnd w:id="43"/>
            <w:r>
              <w:rPr>
                <w:sz w:val="23"/>
                <w:szCs w:val="23"/>
              </w:rPr>
              <w:t>1</w:t>
            </w:r>
          </w:p>
        </w:tc>
        <w:tc>
          <w:tcPr>
            <w:tcW w:w="5793" w:type="dxa"/>
            <w:vAlign w:val="top"/>
          </w:tcPr>
          <w:p>
            <w:pPr>
              <w:pStyle w:val="6"/>
              <w:spacing w:before="141" w:line="219" w:lineRule="auto"/>
              <w:ind w:left="2542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代建费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199" w:line="184" w:lineRule="auto"/>
              <w:ind w:left="289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140.4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2093" w:type="dxa"/>
            <w:vAlign w:val="top"/>
          </w:tcPr>
          <w:p>
            <w:pPr>
              <w:pStyle w:val="6"/>
              <w:spacing w:before="211" w:line="183" w:lineRule="auto"/>
              <w:ind w:left="9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793" w:type="dxa"/>
            <w:vAlign w:val="top"/>
          </w:tcPr>
          <w:p>
            <w:pPr>
              <w:pStyle w:val="6"/>
              <w:spacing w:before="153" w:line="220" w:lineRule="auto"/>
              <w:ind w:left="2542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监理费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10" w:line="184" w:lineRule="auto"/>
              <w:ind w:left="349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91.2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093" w:type="dxa"/>
            <w:vAlign w:val="top"/>
          </w:tcPr>
          <w:p>
            <w:pPr>
              <w:pStyle w:val="6"/>
              <w:spacing w:before="202" w:line="183" w:lineRule="auto"/>
              <w:ind w:left="9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793" w:type="dxa"/>
            <w:vAlign w:val="top"/>
          </w:tcPr>
          <w:p>
            <w:pPr>
              <w:pStyle w:val="6"/>
              <w:spacing w:before="143" w:line="219" w:lineRule="auto"/>
              <w:ind w:left="2312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桩基检测费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02" w:line="183" w:lineRule="auto"/>
              <w:ind w:left="289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63.64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093" w:type="dxa"/>
            <w:vAlign w:val="top"/>
          </w:tcPr>
          <w:p>
            <w:pPr>
              <w:pStyle w:val="6"/>
              <w:spacing w:before="203" w:line="183" w:lineRule="auto"/>
              <w:ind w:left="9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793" w:type="dxa"/>
            <w:vAlign w:val="top"/>
          </w:tcPr>
          <w:p>
            <w:pPr>
              <w:pStyle w:val="6"/>
              <w:spacing w:before="145" w:line="220" w:lineRule="auto"/>
              <w:ind w:left="2081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工程基础探溶费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03" w:line="183" w:lineRule="auto"/>
              <w:ind w:left="289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30.53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093" w:type="dxa"/>
            <w:vAlign w:val="top"/>
          </w:tcPr>
          <w:p>
            <w:pPr>
              <w:pStyle w:val="6"/>
              <w:spacing w:before="206" w:line="182" w:lineRule="auto"/>
              <w:ind w:left="9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5793" w:type="dxa"/>
            <w:vAlign w:val="top"/>
          </w:tcPr>
          <w:p>
            <w:pPr>
              <w:pStyle w:val="6"/>
              <w:spacing w:before="146" w:line="220" w:lineRule="auto"/>
              <w:ind w:left="2542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设计费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03" w:line="184" w:lineRule="auto"/>
              <w:ind w:left="289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45.31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093" w:type="dxa"/>
            <w:vAlign w:val="top"/>
          </w:tcPr>
          <w:p>
            <w:pPr>
              <w:pStyle w:val="6"/>
              <w:spacing w:before="205" w:line="183" w:lineRule="auto"/>
              <w:ind w:left="9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5793" w:type="dxa"/>
            <w:vAlign w:val="top"/>
          </w:tcPr>
          <w:p>
            <w:pPr>
              <w:pStyle w:val="6"/>
              <w:spacing w:before="144" w:line="218" w:lineRule="auto"/>
              <w:ind w:left="2312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工程造价费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05" w:line="183" w:lineRule="auto"/>
              <w:ind w:left="349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9.86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093" w:type="dxa"/>
            <w:vAlign w:val="top"/>
          </w:tcPr>
          <w:p>
            <w:pPr>
              <w:pStyle w:val="6"/>
              <w:spacing w:before="208" w:line="182" w:lineRule="auto"/>
              <w:ind w:left="9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5793" w:type="dxa"/>
            <w:vAlign w:val="top"/>
          </w:tcPr>
          <w:p>
            <w:pPr>
              <w:pStyle w:val="6"/>
              <w:spacing w:before="147" w:line="219" w:lineRule="auto"/>
              <w:ind w:left="2081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工程招标代理费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06" w:line="183" w:lineRule="auto"/>
              <w:ind w:left="51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2093" w:type="dxa"/>
            <w:vAlign w:val="top"/>
          </w:tcPr>
          <w:p>
            <w:pPr>
              <w:pStyle w:val="6"/>
              <w:spacing w:before="207" w:line="183" w:lineRule="auto"/>
              <w:ind w:left="97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5793" w:type="dxa"/>
            <w:vAlign w:val="top"/>
          </w:tcPr>
          <w:p>
            <w:pPr>
              <w:pStyle w:val="6"/>
              <w:spacing w:before="149" w:line="220" w:lineRule="auto"/>
              <w:ind w:left="2431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其他费用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06" w:line="184" w:lineRule="auto"/>
              <w:ind w:left="289"/>
              <w:rPr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17.68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7886" w:type="dxa"/>
            <w:gridSpan w:val="2"/>
            <w:vAlign w:val="top"/>
          </w:tcPr>
          <w:p>
            <w:pPr>
              <w:pStyle w:val="6"/>
              <w:spacing w:before="150" w:line="221" w:lineRule="auto"/>
              <w:ind w:left="3725"/>
              <w:rPr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合计</w:t>
            </w:r>
          </w:p>
        </w:tc>
        <w:tc>
          <w:tcPr>
            <w:tcW w:w="1173" w:type="dxa"/>
            <w:vAlign w:val="top"/>
          </w:tcPr>
          <w:p>
            <w:pPr>
              <w:pStyle w:val="6"/>
              <w:spacing w:before="208" w:line="183" w:lineRule="auto"/>
              <w:ind w:left="238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400.62</w:t>
            </w:r>
          </w:p>
        </w:tc>
      </w:tr>
    </w:tbl>
    <w:p>
      <w:pPr>
        <w:spacing w:line="327" w:lineRule="auto"/>
        <w:rPr>
          <w:rFonts w:ascii="Arial"/>
          <w:sz w:val="21"/>
        </w:rPr>
      </w:pPr>
    </w:p>
    <w:p>
      <w:pPr>
        <w:spacing w:line="327" w:lineRule="auto"/>
        <w:rPr>
          <w:rFonts w:ascii="Arial"/>
          <w:sz w:val="21"/>
        </w:rPr>
      </w:pPr>
    </w:p>
    <w:p>
      <w:pPr>
        <w:spacing w:before="100" w:line="222" w:lineRule="auto"/>
        <w:ind w:left="609"/>
        <w:outlineLvl w:val="2"/>
        <w:rPr>
          <w:rFonts w:ascii="仿宋" w:hAnsi="仿宋" w:eastAsia="仿宋" w:cs="仿宋"/>
          <w:sz w:val="31"/>
          <w:szCs w:val="31"/>
        </w:rPr>
      </w:pPr>
      <w:bookmarkStart w:id="44" w:name="bookmark9"/>
      <w:bookmarkEnd w:id="44"/>
      <w:bookmarkStart w:id="45" w:name="bookmark8"/>
      <w:bookmarkEnd w:id="45"/>
      <w:r>
        <w:rPr>
          <w:rFonts w:ascii="宋体" w:hAnsi="宋体" w:eastAsia="宋体" w:cs="宋体"/>
          <w:b/>
          <w:bCs/>
          <w:spacing w:val="-9"/>
          <w:sz w:val="31"/>
          <w:szCs w:val="31"/>
        </w:rPr>
        <w:t>2、</w:t>
      </w:r>
      <w:r>
        <w:rPr>
          <w:rFonts w:ascii="仿宋" w:hAnsi="仿宋" w:eastAsia="仿宋" w:cs="仿宋"/>
          <w:b/>
          <w:bCs/>
          <w:spacing w:val="-9"/>
          <w:sz w:val="31"/>
          <w:szCs w:val="31"/>
        </w:rPr>
        <w:t>项目资金制度建设</w:t>
      </w:r>
    </w:p>
    <w:p>
      <w:pPr>
        <w:spacing w:before="203" w:line="343" w:lineRule="auto"/>
        <w:ind w:left="5" w:right="1144" w:firstLine="62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1"/>
          <w:sz w:val="31"/>
          <w:szCs w:val="31"/>
        </w:rPr>
        <w:t>项目实施单位按照《专项资金管理办法》对项目资金使用管理，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制订了《资金使用审批管理办法》,规范项目资金支出审批权限管理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和报账审批流程，科学合理运用资金，注重规避资金使用风险。(1)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严把审批关。一是参与项目管理的有关人员需要把关签字，确认项目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工程的真实性、工程进度与款项支付的相关性；二是支付依据较为完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善。制度对项目资金支出及需审验的原始资料作出了具体的要</w:t>
      </w:r>
      <w:r>
        <w:rPr>
          <w:rFonts w:ascii="仿宋" w:hAnsi="仿宋" w:eastAsia="仿宋" w:cs="仿宋"/>
          <w:spacing w:val="-13"/>
          <w:sz w:val="31"/>
          <w:szCs w:val="31"/>
        </w:rPr>
        <w:t>求，如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审核工程预付款和进度款时需审验的原始资料有施工合同、工程量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清单、建安发票或建安预收款专用收据；最终结算工程款时还要 审验工程竣工审计报告、竣工验收证书、工程设计变更资料。项 </w:t>
      </w:r>
      <w:r>
        <w:rPr>
          <w:rFonts w:ascii="仿宋" w:hAnsi="仿宋" w:eastAsia="仿宋" w:cs="仿宋"/>
          <w:spacing w:val="6"/>
          <w:sz w:val="31"/>
          <w:szCs w:val="31"/>
        </w:rPr>
        <w:t>目支出的原始资料不符合规定的，财务部门要求更正或补齐，否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2"/>
          <w:sz w:val="31"/>
          <w:szCs w:val="31"/>
        </w:rPr>
        <w:t>则拒绝付款。三是实行联签制度。工程款的审批程序为经监理公司</w:t>
      </w:r>
    </w:p>
    <w:p>
      <w:pPr>
        <w:spacing w:line="322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spacing w:before="40" w:line="185" w:lineRule="auto"/>
        <w:ind w:left="439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7</w:t>
      </w:r>
    </w:p>
    <w:p>
      <w:pPr>
        <w:spacing w:line="185" w:lineRule="auto"/>
        <w:rPr>
          <w:rFonts w:ascii="Times New Roman" w:hAnsi="Times New Roman" w:eastAsia="Times New Roman" w:cs="Times New Roman"/>
          <w:sz w:val="14"/>
          <w:szCs w:val="14"/>
        </w:rPr>
        <w:sectPr>
          <w:pgSz w:w="11900" w:h="16820"/>
          <w:pgMar w:top="1429" w:right="260" w:bottom="400" w:left="1484" w:header="0" w:footer="0" w:gutter="0"/>
          <w:cols w:space="720" w:num="1"/>
        </w:sectPr>
      </w:pPr>
    </w:p>
    <w:p>
      <w:pPr>
        <w:spacing w:line="338" w:lineRule="auto"/>
        <w:rPr>
          <w:rFonts w:ascii="Arial"/>
          <w:sz w:val="21"/>
        </w:rPr>
      </w:pPr>
    </w:p>
    <w:p>
      <w:pPr>
        <w:spacing w:before="104" w:line="326" w:lineRule="auto"/>
        <w:ind w:right="1211"/>
        <w:jc w:val="both"/>
        <w:rPr>
          <w:rFonts w:ascii="仿宋" w:hAnsi="仿宋" w:eastAsia="仿宋" w:cs="仿宋"/>
          <w:sz w:val="32"/>
          <w:szCs w:val="32"/>
        </w:rPr>
      </w:pPr>
      <w:bookmarkStart w:id="46" w:name="bookmark37"/>
      <w:bookmarkEnd w:id="46"/>
      <w:r>
        <w:rPr>
          <w:rFonts w:ascii="仿宋" w:hAnsi="仿宋" w:eastAsia="仿宋" w:cs="仿宋"/>
          <w:spacing w:val="-23"/>
          <w:sz w:val="32"/>
          <w:szCs w:val="32"/>
        </w:rPr>
        <w:t>负责人、代建公司负责人、建设单位现场代表、建设单位项目负责人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签署意见后，送财务部审核再报分管财务领导审核后，</w:t>
      </w:r>
      <w:r>
        <w:rPr>
          <w:rFonts w:ascii="仿宋" w:hAnsi="仿宋" w:eastAsia="仿宋" w:cs="仿宋"/>
          <w:spacing w:val="-14"/>
          <w:sz w:val="32"/>
          <w:szCs w:val="32"/>
        </w:rPr>
        <w:t>报单位法人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审定支付。(2)专款专用、专账核算。严格控制专项资金的开支范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3"/>
          <w:sz w:val="32"/>
          <w:szCs w:val="32"/>
        </w:rPr>
        <w:t>围，按照资金的预算用途使用；设置会计辅</w:t>
      </w:r>
      <w:r>
        <w:rPr>
          <w:rFonts w:ascii="仿宋" w:hAnsi="仿宋" w:eastAsia="仿宋" w:cs="仿宋"/>
          <w:spacing w:val="-24"/>
          <w:sz w:val="32"/>
          <w:szCs w:val="32"/>
        </w:rPr>
        <w:t>助科目“强戒人员改扩建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sz w:val="32"/>
          <w:szCs w:val="32"/>
        </w:rPr>
        <w:t>项目”进行专账核算，准确反映项目资金收支等情况。</w:t>
      </w:r>
    </w:p>
    <w:p>
      <w:pPr>
        <w:pStyle w:val="2"/>
        <w:spacing w:before="51" w:line="223" w:lineRule="auto"/>
        <w:ind w:left="514"/>
      </w:pPr>
      <w:r>
        <w:rPr>
          <w:b/>
          <w:bCs/>
          <w:spacing w:val="4"/>
        </w:rPr>
        <w:t>(三)项目实施管理情况。</w:t>
      </w:r>
    </w:p>
    <w:p>
      <w:pPr>
        <w:spacing w:before="209" w:line="222" w:lineRule="auto"/>
        <w:ind w:left="644"/>
        <w:outlineLvl w:val="2"/>
        <w:rPr>
          <w:rFonts w:ascii="仿宋" w:hAnsi="仿宋" w:eastAsia="仿宋" w:cs="仿宋"/>
          <w:sz w:val="32"/>
          <w:szCs w:val="32"/>
        </w:rPr>
      </w:pPr>
      <w:bookmarkStart w:id="47" w:name="bookmark14"/>
      <w:bookmarkEnd w:id="47"/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1、</w:t>
      </w:r>
      <w:r>
        <w:rPr>
          <w:rFonts w:ascii="仿宋" w:hAnsi="仿宋" w:eastAsia="仿宋" w:cs="仿宋"/>
          <w:b/>
          <w:bCs/>
          <w:spacing w:val="-5"/>
          <w:sz w:val="32"/>
          <w:szCs w:val="32"/>
        </w:rPr>
        <w:t>项目组织实施情况</w:t>
      </w:r>
    </w:p>
    <w:p>
      <w:pPr>
        <w:spacing w:before="185" w:line="222" w:lineRule="auto"/>
        <w:ind w:left="80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21"/>
          <w:sz w:val="32"/>
          <w:szCs w:val="32"/>
        </w:rPr>
        <w:t>(1)项目报建</w:t>
      </w:r>
    </w:p>
    <w:p>
      <w:pPr>
        <w:spacing w:before="198" w:line="325" w:lineRule="auto"/>
        <w:ind w:right="1210" w:firstLine="6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5"/>
          <w:sz w:val="32"/>
          <w:szCs w:val="32"/>
        </w:rPr>
        <w:t>项目2019年11月20日开工，3个月后，补办了建设工程报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4"/>
          <w:sz w:val="32"/>
          <w:szCs w:val="32"/>
        </w:rPr>
        <w:t>建审批手续，2020年2月24日，取得了邵阳市住房和城乡建设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局核发的《建筑工程施工许可证》。</w:t>
      </w:r>
    </w:p>
    <w:p>
      <w:pPr>
        <w:spacing w:before="37" w:line="224" w:lineRule="auto"/>
        <w:ind w:left="89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18"/>
          <w:sz w:val="32"/>
          <w:szCs w:val="32"/>
        </w:rPr>
        <w:t>(2)项目施工</w:t>
      </w:r>
    </w:p>
    <w:p>
      <w:pPr>
        <w:spacing w:before="191" w:line="328" w:lineRule="auto"/>
        <w:ind w:right="1100" w:firstLine="6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在施工前，项目代建方组织勘察、设计、监理、</w:t>
      </w:r>
      <w:r>
        <w:rPr>
          <w:rFonts w:ascii="仿宋" w:hAnsi="仿宋" w:eastAsia="仿宋" w:cs="仿宋"/>
          <w:spacing w:val="-3"/>
          <w:sz w:val="32"/>
          <w:szCs w:val="32"/>
        </w:rPr>
        <w:t>施工等有关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单位进行施工技术、质量安全交底工作，使</w:t>
      </w:r>
      <w:r>
        <w:rPr>
          <w:rFonts w:ascii="仿宋" w:hAnsi="仿宋" w:eastAsia="仿宋" w:cs="仿宋"/>
          <w:spacing w:val="-9"/>
          <w:sz w:val="32"/>
          <w:szCs w:val="32"/>
        </w:rPr>
        <w:t>施工人员对工程特点、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技术质量要求、施工方法与措施和安全等方面有一个较详细的了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解，以便于科学地组织施工，避免技术质量等事故的发生。</w:t>
      </w:r>
    </w:p>
    <w:p>
      <w:pPr>
        <w:spacing w:before="50" w:line="330" w:lineRule="auto"/>
        <w:ind w:right="1100" w:firstLine="6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在施工期间，项目代建方和监理单位对进场的工程材料、半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成品按相关的规范、标准进行验收，各项指</w:t>
      </w:r>
      <w:r>
        <w:rPr>
          <w:rFonts w:ascii="仿宋" w:hAnsi="仿宋" w:eastAsia="仿宋" w:cs="仿宋"/>
          <w:spacing w:val="-9"/>
          <w:sz w:val="32"/>
          <w:szCs w:val="32"/>
        </w:rPr>
        <w:t>标符合规定方可放行，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对不合格物资规定了处置办法；对施工过程、机械设备、进场材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料等会影响工程质量的过程进行跟踪或验证</w:t>
      </w:r>
      <w:r>
        <w:rPr>
          <w:rFonts w:ascii="仿宋" w:hAnsi="仿宋" w:eastAsia="仿宋" w:cs="仿宋"/>
          <w:spacing w:val="-9"/>
          <w:sz w:val="32"/>
          <w:szCs w:val="32"/>
        </w:rPr>
        <w:t>，并对砼、砂浆搅拌、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浇注、钢筋连接、防水、防渗漏、施工测量等特殊施工过程连续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监控及过程检测，保障工程质量。除此之外，监理单位对施工质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2"/>
          <w:sz w:val="32"/>
          <w:szCs w:val="32"/>
        </w:rPr>
        <w:t>量进行全程监督。每天准确记录当天的施工情况、发现的问题及</w:t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before="43" w:line="188" w:lineRule="auto"/>
        <w:ind w:left="439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8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60" w:bottom="400" w:left="1499" w:header="0" w:footer="0" w:gutter="0"/>
          <w:cols w:space="720" w:num="1"/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before="104" w:line="322" w:lineRule="auto"/>
        <w:ind w:left="30" w:right="1060"/>
        <w:rPr>
          <w:rFonts w:ascii="仿宋" w:hAnsi="仿宋" w:eastAsia="仿宋" w:cs="仿宋"/>
          <w:sz w:val="32"/>
          <w:szCs w:val="32"/>
        </w:rPr>
      </w:pPr>
      <w:bookmarkStart w:id="48" w:name="bookmark38"/>
      <w:bookmarkEnd w:id="48"/>
      <w:r>
        <w:rPr>
          <w:rFonts w:ascii="仿宋" w:hAnsi="仿宋" w:eastAsia="仿宋" w:cs="仿宋"/>
          <w:spacing w:val="-2"/>
          <w:sz w:val="32"/>
          <w:szCs w:val="32"/>
        </w:rPr>
        <w:t>问题处理情况等，根据监理日记显示，监理单位在施工过程中累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3"/>
          <w:sz w:val="32"/>
          <w:szCs w:val="32"/>
        </w:rPr>
        <w:t>计发现问题70余个，对文明施工不到位的问题处于罚款1000元。</w:t>
      </w:r>
    </w:p>
    <w:p>
      <w:pPr>
        <w:spacing w:before="40" w:line="331" w:lineRule="auto"/>
        <w:ind w:left="30" w:right="1167" w:firstLine="68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施工单位在施工期间依次完成了土石方、基础、主体钢筋混</w:t>
      </w:r>
      <w:r>
        <w:rPr>
          <w:rFonts w:ascii="仿宋" w:hAnsi="仿宋" w:eastAsia="仿宋" w:cs="仿宋"/>
          <w:sz w:val="32"/>
          <w:szCs w:val="32"/>
        </w:rPr>
        <w:t xml:space="preserve"> 凝土、砌体、室内装修、外架及机械拆除、室外管道、道路和铺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装、绿化种植9个分部分项工程，并按照</w:t>
      </w:r>
      <w:r>
        <w:rPr>
          <w:rFonts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ascii="宋体" w:hAnsi="宋体" w:eastAsia="宋体" w:cs="宋体"/>
          <w:sz w:val="32"/>
          <w:szCs w:val="32"/>
        </w:rPr>
        <w:t>GB</w:t>
      </w:r>
      <w:r>
        <w:rPr>
          <w:rFonts w:ascii="宋体" w:hAnsi="宋体" w:eastAsia="宋体" w:cs="宋体"/>
          <w:spacing w:val="2"/>
          <w:sz w:val="32"/>
          <w:szCs w:val="32"/>
        </w:rPr>
        <w:t>50300—2001《</w:t>
      </w:r>
      <w:r>
        <w:rPr>
          <w:rFonts w:ascii="宋体" w:hAnsi="宋体" w:eastAsia="宋体" w:cs="宋体"/>
          <w:spacing w:val="-5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"/>
          <w:sz w:val="32"/>
          <w:szCs w:val="32"/>
        </w:rPr>
        <w:t>建筑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工程施工质量验收统一标准》的要求，采取分部分项验收的质量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保障措施。分部工程所含分项工程的质量均验收合格，质量控制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资料完整，有关结构安全及使用功能的检验和抽样检测结果符合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相关规定。</w:t>
      </w:r>
    </w:p>
    <w:p>
      <w:pPr>
        <w:spacing w:before="79" w:line="223" w:lineRule="auto"/>
        <w:ind w:left="77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14"/>
          <w:sz w:val="32"/>
          <w:szCs w:val="32"/>
        </w:rPr>
        <w:t>(3)项目竣工验收</w:t>
      </w:r>
    </w:p>
    <w:p>
      <w:pPr>
        <w:spacing w:before="162" w:line="325" w:lineRule="auto"/>
        <w:ind w:left="10" w:right="1159" w:firstLine="6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7"/>
          <w:sz w:val="32"/>
          <w:szCs w:val="32"/>
        </w:rPr>
        <w:t>2021年7月30日，由建设单位、监理单位、施</w:t>
      </w:r>
      <w:r>
        <w:rPr>
          <w:rFonts w:ascii="仿宋" w:hAnsi="仿宋" w:eastAsia="仿宋" w:cs="仿宋"/>
          <w:spacing w:val="16"/>
          <w:sz w:val="32"/>
          <w:szCs w:val="32"/>
        </w:rPr>
        <w:t>工单位、设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计单位、勘察单位参与竣工验收，包括核查质量控制资料26项，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抽查安全和使用功能5项，抽查观感质量16</w:t>
      </w:r>
      <w:r>
        <w:rPr>
          <w:rFonts w:ascii="仿宋" w:hAnsi="仿宋" w:eastAsia="仿宋" w:cs="仿宋"/>
          <w:spacing w:val="10"/>
          <w:sz w:val="32"/>
          <w:szCs w:val="32"/>
        </w:rPr>
        <w:t>项，验收7个分部工</w:t>
      </w:r>
      <w:r>
        <w:rPr>
          <w:rFonts w:ascii="仿宋" w:hAnsi="仿宋" w:eastAsia="仿宋" w:cs="仿宋"/>
          <w:sz w:val="32"/>
          <w:szCs w:val="32"/>
        </w:rPr>
        <w:t xml:space="preserve"> 程，参与验收的各相关责任主体最终达成了一致的意</w:t>
      </w:r>
      <w:r>
        <w:rPr>
          <w:rFonts w:ascii="仿宋" w:hAnsi="仿宋" w:eastAsia="仿宋" w:cs="仿宋"/>
          <w:spacing w:val="-1"/>
          <w:sz w:val="32"/>
          <w:szCs w:val="32"/>
        </w:rPr>
        <w:t>见，同意验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</w:rPr>
        <w:t>收合格，并在质量验收证明文件上签章。竣工验收后，2021</w:t>
      </w:r>
      <w:r>
        <w:rPr>
          <w:rFonts w:ascii="仿宋" w:hAnsi="仿宋" w:eastAsia="仿宋" w:cs="仿宋"/>
          <w:spacing w:val="2"/>
          <w:sz w:val="32"/>
          <w:szCs w:val="32"/>
        </w:rPr>
        <w:t>年8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月2日，市建设工程质量监督局核查竣工验收资料，出具了《工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2"/>
          <w:sz w:val="32"/>
          <w:szCs w:val="32"/>
        </w:rPr>
        <w:t>程质量监督报告》。2021年9月30日，完成</w:t>
      </w:r>
      <w:r>
        <w:rPr>
          <w:rFonts w:ascii="仿宋" w:hAnsi="仿宋" w:eastAsia="仿宋" w:cs="仿宋"/>
          <w:spacing w:val="11"/>
          <w:sz w:val="32"/>
          <w:szCs w:val="32"/>
        </w:rPr>
        <w:t>实体移交。</w:t>
      </w:r>
    </w:p>
    <w:p>
      <w:pPr>
        <w:spacing w:before="144" w:line="222" w:lineRule="auto"/>
        <w:ind w:left="654"/>
        <w:outlineLvl w:val="2"/>
        <w:rPr>
          <w:rFonts w:ascii="仿宋" w:hAnsi="仿宋" w:eastAsia="仿宋" w:cs="仿宋"/>
          <w:sz w:val="32"/>
          <w:szCs w:val="32"/>
        </w:rPr>
      </w:pPr>
      <w:bookmarkStart w:id="49" w:name="bookmark13"/>
      <w:bookmarkEnd w:id="49"/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2、</w:t>
      </w: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项目管理制度建设</w:t>
      </w:r>
    </w:p>
    <w:p>
      <w:pPr>
        <w:spacing w:before="170" w:line="328" w:lineRule="auto"/>
        <w:ind w:right="1119" w:firstLine="65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代建单位制定了从项目勘察、设计、招投标、报建等</w:t>
      </w:r>
      <w:r>
        <w:rPr>
          <w:rFonts w:ascii="仿宋" w:hAnsi="仿宋" w:eastAsia="仿宋" w:cs="仿宋"/>
          <w:spacing w:val="-2"/>
          <w:sz w:val="32"/>
          <w:szCs w:val="32"/>
        </w:rPr>
        <w:t>过程的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sz w:val="32"/>
          <w:szCs w:val="32"/>
        </w:rPr>
        <w:t>制度，还围绕建设“安全、质量、工期、投资、决算”控制目标，制定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9"/>
          <w:sz w:val="32"/>
          <w:szCs w:val="32"/>
        </w:rPr>
        <w:t>了相应的项目建设管理制度。制度主要包括：《代建工作管理制度》、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《代建安全与职业健康制度》、《代建质量管理制度》、《监理工作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质量管理办法及考评标准》、《代建工作进度管理制度》、《代建工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43" w:line="188" w:lineRule="auto"/>
        <w:ind w:left="443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9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90" w:bottom="400" w:left="1449" w:header="0" w:footer="0" w:gutter="0"/>
          <w:cols w:space="720" w:num="1"/>
        </w:sectPr>
      </w:pPr>
    </w:p>
    <w:p>
      <w:pPr>
        <w:spacing w:line="338" w:lineRule="auto"/>
        <w:rPr>
          <w:rFonts w:ascii="Arial"/>
          <w:sz w:val="21"/>
        </w:rPr>
      </w:pPr>
    </w:p>
    <w:p>
      <w:pPr>
        <w:spacing w:before="104" w:line="325" w:lineRule="auto"/>
        <w:ind w:right="1143"/>
        <w:jc w:val="both"/>
        <w:rPr>
          <w:rFonts w:ascii="仿宋" w:hAnsi="仿宋" w:eastAsia="仿宋" w:cs="仿宋"/>
          <w:sz w:val="32"/>
          <w:szCs w:val="32"/>
        </w:rPr>
      </w:pPr>
      <w:bookmarkStart w:id="50" w:name="bookmark39"/>
      <w:bookmarkEnd w:id="50"/>
      <w:r>
        <w:rPr>
          <w:rFonts w:ascii="仿宋" w:hAnsi="仿宋" w:eastAsia="仿宋" w:cs="仿宋"/>
          <w:spacing w:val="-22"/>
          <w:sz w:val="32"/>
          <w:szCs w:val="32"/>
        </w:rPr>
        <w:t>作工程变更管理制度》、《代建工作投资管理制度》、《代建工作项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目资金管理制度》。从项目单位的制度来看，制度内容完整、附件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资料齐全。如《代建工作管理制度》共17</w:t>
      </w:r>
      <w:r>
        <w:rPr>
          <w:rFonts w:ascii="仿宋" w:hAnsi="仿宋" w:eastAsia="仿宋" w:cs="仿宋"/>
          <w:spacing w:val="-2"/>
          <w:sz w:val="32"/>
          <w:szCs w:val="32"/>
        </w:rPr>
        <w:t>条，规范项目实施全过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程的步骤、标准、审批流程，内容详实。《代建工作工程变更管理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制度》共17条及附件4项，主要是规范工程变更控制的处理方法、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审批流程，确保设计变更的及时性、合理性和经济性。《代建工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作质量管理制度》对项目事前、事中、事后的质量控制有明确规定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和标准，对质量控制主要做法、程序以及质量问题的分析和处理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有详细的规定，严把工程质量关。</w:t>
      </w:r>
    </w:p>
    <w:p>
      <w:pPr>
        <w:spacing w:before="154" w:line="321" w:lineRule="auto"/>
        <w:ind w:right="1139" w:firstLine="64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现场评价时，对项目单位规章制度的建设和执行情况进行了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检查，除办理施工许可证不及时、工程竣工结算和验收备案迟缓、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项目资料管理不规范及文明施工不到位的问题外，其他方面均较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好地执行了管理制度。</w:t>
      </w:r>
    </w:p>
    <w:p>
      <w:pPr>
        <w:pStyle w:val="2"/>
        <w:spacing w:before="62" w:line="227" w:lineRule="auto"/>
        <w:ind w:left="844"/>
        <w:outlineLvl w:val="1"/>
      </w:pPr>
      <w:bookmarkStart w:id="51" w:name="bookmark15"/>
      <w:bookmarkEnd w:id="51"/>
      <w:r>
        <w:rPr>
          <w:b/>
          <w:bCs/>
          <w:spacing w:val="8"/>
        </w:rPr>
        <w:t>(四)绩效目标完成情况</w:t>
      </w:r>
    </w:p>
    <w:p>
      <w:pPr>
        <w:spacing w:before="207" w:line="322" w:lineRule="auto"/>
        <w:ind w:right="1242" w:firstLine="64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项目单位编制了预算绩效目标，但部分指标设置不规范，现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2"/>
          <w:sz w:val="32"/>
          <w:szCs w:val="32"/>
        </w:rPr>
        <w:t>根据市发改委对项目可研的批复(邵市发改投(2018)361号)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对项目建设相关要求，以及项目施工图纸，将项目主要工作任务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归纳为以下绩效指标：</w:t>
      </w:r>
    </w:p>
    <w:p>
      <w:pPr>
        <w:spacing w:before="90" w:line="331" w:lineRule="auto"/>
        <w:ind w:right="1109" w:firstLine="64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产出数量：四栋多层建筑，总建筑面积为16751.35平方米，其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中完成1号门楼共3层，建筑面积1658.02平方米；2号楼康复巩固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5"/>
          <w:sz w:val="32"/>
          <w:szCs w:val="32"/>
        </w:rPr>
        <w:t>区共5层，建筑面积5498.14平方米；3#康复巩固区共5层</w:t>
      </w:r>
      <w:r>
        <w:rPr>
          <w:rFonts w:ascii="仿宋" w:hAnsi="仿宋" w:eastAsia="仿宋" w:cs="仿宋"/>
          <w:spacing w:val="-6"/>
          <w:sz w:val="32"/>
          <w:szCs w:val="32"/>
        </w:rPr>
        <w:t>，建筑面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积5499.04平方米；4#回归指导区</w:t>
      </w:r>
      <w:r>
        <w:rPr>
          <w:rFonts w:ascii="仿宋" w:hAnsi="仿宋" w:eastAsia="仿宋" w:cs="仿宋"/>
          <w:spacing w:val="-10"/>
          <w:sz w:val="32"/>
          <w:szCs w:val="32"/>
        </w:rPr>
        <w:t>共4层，建筑面积4096.15平方米。</w:t>
      </w:r>
    </w:p>
    <w:p>
      <w:pPr>
        <w:spacing w:before="42" w:line="221" w:lineRule="auto"/>
        <w:ind w:left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产出质量：质量目标为项目建设技术指标应符合《强制隔离</w:t>
      </w:r>
    </w:p>
    <w:p>
      <w:pPr>
        <w:spacing w:line="313" w:lineRule="auto"/>
        <w:rPr>
          <w:rFonts w:ascii="Arial"/>
          <w:sz w:val="21"/>
        </w:rPr>
      </w:pPr>
    </w:p>
    <w:p>
      <w:pPr>
        <w:spacing w:line="314" w:lineRule="auto"/>
        <w:rPr>
          <w:rFonts w:ascii="Arial"/>
          <w:sz w:val="21"/>
        </w:rPr>
      </w:pPr>
    </w:p>
    <w:p>
      <w:pPr>
        <w:spacing w:before="44" w:line="188" w:lineRule="auto"/>
        <w:ind w:left="440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10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60" w:bottom="400" w:left="1450" w:header="0" w:footer="0" w:gutter="0"/>
          <w:cols w:space="720" w:num="1"/>
        </w:sectPr>
      </w:pPr>
    </w:p>
    <w:p>
      <w:pPr>
        <w:spacing w:line="333" w:lineRule="auto"/>
        <w:rPr>
          <w:rFonts w:ascii="Arial"/>
          <w:sz w:val="21"/>
        </w:rPr>
      </w:pPr>
    </w:p>
    <w:p>
      <w:pPr>
        <w:spacing w:before="104" w:line="318" w:lineRule="auto"/>
        <w:ind w:left="29" w:right="1236"/>
        <w:rPr>
          <w:rFonts w:ascii="仿宋" w:hAnsi="仿宋" w:eastAsia="仿宋" w:cs="仿宋"/>
          <w:sz w:val="32"/>
          <w:szCs w:val="32"/>
        </w:rPr>
      </w:pPr>
      <w:bookmarkStart w:id="52" w:name="bookmark40"/>
      <w:bookmarkEnd w:id="52"/>
      <w:r>
        <w:rPr>
          <w:rFonts w:ascii="仿宋" w:hAnsi="仿宋" w:eastAsia="仿宋" w:cs="仿宋"/>
          <w:spacing w:val="9"/>
          <w:sz w:val="32"/>
          <w:szCs w:val="32"/>
        </w:rPr>
        <w:t>戒毒所建设标准》(建标170-2014)要求，工程质量验收标准应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符合《工程施工质量验收规范》要求，按规定流程验收合格。</w:t>
      </w:r>
    </w:p>
    <w:p>
      <w:pPr>
        <w:spacing w:before="56" w:line="321" w:lineRule="auto"/>
        <w:ind w:left="29" w:right="1212" w:firstLine="6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产出时效：项目实施时间为从开工起算300个日历天数，</w:t>
      </w:r>
      <w:r>
        <w:rPr>
          <w:rFonts w:ascii="仿宋" w:hAnsi="仿宋" w:eastAsia="仿宋" w:cs="仿宋"/>
          <w:spacing w:val="-6"/>
          <w:sz w:val="32"/>
          <w:szCs w:val="32"/>
        </w:rPr>
        <w:t>2020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1"/>
          <w:sz w:val="32"/>
          <w:szCs w:val="32"/>
        </w:rPr>
        <w:t>年9月15日竣工。</w:t>
      </w:r>
    </w:p>
    <w:p>
      <w:pPr>
        <w:spacing w:before="47" w:line="222" w:lineRule="auto"/>
        <w:ind w:left="65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产出成本：该项目预算为5643万元。</w:t>
      </w:r>
    </w:p>
    <w:p>
      <w:pPr>
        <w:spacing w:before="173" w:line="329" w:lineRule="auto"/>
        <w:ind w:left="29" w:right="1208" w:firstLine="6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项目效益：扩容邵阳市强制隔离戒毒所的收治规模，为禁毒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一线提供有力支撑和保障，最大限度减少毒品危害，维护社会安 </w:t>
      </w:r>
      <w:r>
        <w:rPr>
          <w:rFonts w:ascii="仿宋" w:hAnsi="仿宋" w:eastAsia="仿宋" w:cs="仿宋"/>
          <w:spacing w:val="-5"/>
          <w:sz w:val="32"/>
          <w:szCs w:val="32"/>
        </w:rPr>
        <w:t>定，促进社会和谐稳定。</w:t>
      </w:r>
    </w:p>
    <w:p>
      <w:pPr>
        <w:spacing w:before="49" w:line="324" w:lineRule="auto"/>
        <w:ind w:left="29" w:right="1130" w:firstLine="62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3"/>
          <w:sz w:val="32"/>
          <w:szCs w:val="32"/>
        </w:rPr>
        <w:t>截止2022年7月30日，项目累计支出专项资金4</w:t>
      </w:r>
      <w:r>
        <w:rPr>
          <w:rFonts w:ascii="仿宋" w:hAnsi="仿宋" w:eastAsia="仿宋" w:cs="仿宋"/>
          <w:spacing w:val="12"/>
          <w:sz w:val="32"/>
          <w:szCs w:val="32"/>
        </w:rPr>
        <w:t>611.34元，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5"/>
          <w:sz w:val="32"/>
          <w:szCs w:val="32"/>
        </w:rPr>
        <w:t>历经618天(超工期318天),按质、按量完成了项目建设。项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目新增四栋业务用房，扩大了强制隔离戒毒所的收治规模，但由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于项目建设只包括房屋主体及室外附属设施等一些基础性工程，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项目配套设施及信息化设备建设未到位，导致项目建设完工后， </w:t>
      </w:r>
      <w:r>
        <w:rPr>
          <w:rFonts w:ascii="仿宋" w:hAnsi="仿宋" w:eastAsia="仿宋" w:cs="仿宋"/>
          <w:spacing w:val="-5"/>
          <w:sz w:val="32"/>
          <w:szCs w:val="32"/>
        </w:rPr>
        <w:t>未能投入使用，未产生社会效益。</w:t>
      </w:r>
    </w:p>
    <w:p>
      <w:pPr>
        <w:spacing w:before="109" w:line="221" w:lineRule="auto"/>
        <w:ind w:left="664"/>
        <w:outlineLvl w:val="0"/>
        <w:rPr>
          <w:rFonts w:ascii="黑体" w:hAnsi="黑体" w:eastAsia="黑体" w:cs="黑体"/>
          <w:sz w:val="32"/>
          <w:szCs w:val="32"/>
        </w:rPr>
      </w:pPr>
      <w:bookmarkStart w:id="53" w:name="bookmark16"/>
      <w:bookmarkEnd w:id="53"/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二、绩效评价工作情况</w:t>
      </w:r>
    </w:p>
    <w:p>
      <w:pPr>
        <w:pStyle w:val="2"/>
        <w:spacing w:before="182" w:line="223" w:lineRule="auto"/>
        <w:ind w:left="514"/>
        <w:outlineLvl w:val="1"/>
      </w:pPr>
      <w:bookmarkStart w:id="54" w:name="bookmark17"/>
      <w:bookmarkEnd w:id="54"/>
      <w:r>
        <w:rPr>
          <w:b/>
          <w:bCs/>
          <w:spacing w:val="8"/>
        </w:rPr>
        <w:t>(一)绩效评价的主要依据</w:t>
      </w:r>
    </w:p>
    <w:p>
      <w:pPr>
        <w:spacing w:before="194" w:line="331" w:lineRule="auto"/>
        <w:ind w:right="1198" w:firstLine="664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15"/>
          <w:sz w:val="32"/>
          <w:szCs w:val="32"/>
        </w:rPr>
        <w:t>1、</w:t>
      </w:r>
      <w:r>
        <w:rPr>
          <w:rFonts w:ascii="仿宋" w:hAnsi="仿宋" w:eastAsia="仿宋" w:cs="仿宋"/>
          <w:b/>
          <w:bCs/>
          <w:spacing w:val="-15"/>
          <w:sz w:val="32"/>
          <w:szCs w:val="32"/>
        </w:rPr>
        <w:t>预算绩效管理政策制度。</w:t>
      </w:r>
      <w:r>
        <w:rPr>
          <w:rFonts w:ascii="仿宋" w:hAnsi="仿宋" w:eastAsia="仿宋" w:cs="仿宋"/>
          <w:spacing w:val="-15"/>
          <w:sz w:val="32"/>
          <w:szCs w:val="32"/>
        </w:rPr>
        <w:t>《中华人民共和国预算法》;《中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共中央国务院关于全面实施预算绩效管理的意见》(中发〔2018)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3"/>
          <w:sz w:val="32"/>
          <w:szCs w:val="32"/>
        </w:rPr>
        <w:t>34号);财政部《项目支出绩效评价管理办法》(财预(20</w:t>
      </w:r>
      <w:r>
        <w:rPr>
          <w:rFonts w:ascii="仿宋" w:hAnsi="仿宋" w:eastAsia="仿宋" w:cs="仿宋"/>
          <w:spacing w:val="22"/>
          <w:sz w:val="32"/>
          <w:szCs w:val="32"/>
        </w:rPr>
        <w:t>20)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10号);中共湖南省委办公厅、湖南省人民政府办公厅《关于全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面实施预算绩效管理的实施意见》(湘办发〔2019〕10号)</w:t>
      </w:r>
      <w:r>
        <w:rPr>
          <w:rFonts w:ascii="仿宋" w:hAnsi="仿宋" w:eastAsia="仿宋" w:cs="仿宋"/>
          <w:spacing w:val="4"/>
          <w:sz w:val="32"/>
          <w:szCs w:val="32"/>
        </w:rPr>
        <w:t>;《湖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南省财政厅关于印发&lt;湖南省预算绩效目标管理办法&gt;的通知》(湘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财绩〔2020〕6号)《湖南省财政厅关于</w:t>
      </w:r>
      <w:r>
        <w:rPr>
          <w:rFonts w:ascii="仿宋" w:hAnsi="仿宋" w:eastAsia="仿宋" w:cs="仿宋"/>
          <w:spacing w:val="10"/>
          <w:sz w:val="32"/>
          <w:szCs w:val="32"/>
        </w:rPr>
        <w:t>印发湖南省预算支出绩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41" w:line="188" w:lineRule="auto"/>
        <w:ind w:left="441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11</w:t>
      </w:r>
    </w:p>
    <w:p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pgSz w:w="11900" w:h="16820"/>
          <w:pgMar w:top="1429" w:right="260" w:bottom="400" w:left="1440" w:header="0" w:footer="0" w:gutter="0"/>
          <w:cols w:space="720" w:num="1"/>
        </w:sectPr>
      </w:pPr>
    </w:p>
    <w:p>
      <w:pPr>
        <w:spacing w:line="315" w:lineRule="auto"/>
        <w:rPr>
          <w:rFonts w:ascii="Arial"/>
          <w:sz w:val="21"/>
        </w:rPr>
      </w:pPr>
    </w:p>
    <w:p>
      <w:pPr>
        <w:spacing w:before="104" w:line="222" w:lineRule="auto"/>
        <w:rPr>
          <w:rFonts w:ascii="仿宋" w:hAnsi="仿宋" w:eastAsia="仿宋" w:cs="仿宋"/>
          <w:sz w:val="32"/>
          <w:szCs w:val="32"/>
        </w:rPr>
      </w:pPr>
      <w:bookmarkStart w:id="55" w:name="bookmark41"/>
      <w:bookmarkEnd w:id="55"/>
      <w:r>
        <w:rPr>
          <w:rFonts w:ascii="仿宋" w:hAnsi="仿宋" w:eastAsia="仿宋" w:cs="仿宋"/>
          <w:spacing w:val="11"/>
          <w:sz w:val="32"/>
          <w:szCs w:val="32"/>
        </w:rPr>
        <w:t>效评价管理办法的通知》(湘财绩〔2020)7号〕。</w:t>
      </w:r>
    </w:p>
    <w:p>
      <w:pPr>
        <w:spacing w:before="212" w:line="320" w:lineRule="auto"/>
        <w:ind w:right="1177" w:firstLine="62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9"/>
          <w:sz w:val="32"/>
          <w:szCs w:val="32"/>
        </w:rPr>
        <w:t>2、</w:t>
      </w: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项目管理相关政策制度。</w:t>
      </w:r>
      <w:r>
        <w:rPr>
          <w:rFonts w:ascii="仿宋" w:hAnsi="仿宋" w:eastAsia="仿宋" w:cs="仿宋"/>
          <w:spacing w:val="-9"/>
          <w:sz w:val="32"/>
          <w:szCs w:val="32"/>
        </w:rPr>
        <w:t>包括《湖南省政府投资项目代建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5"/>
          <w:sz w:val="32"/>
          <w:szCs w:val="32"/>
        </w:rPr>
        <w:t>制管理办法》(湖南省人民政府令第241号)、湖南省代建项目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3"/>
          <w:sz w:val="32"/>
          <w:szCs w:val="32"/>
        </w:rPr>
        <w:t>管理操作规范(试行)(湘发改代建(2019)313号)、《湖南省清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理规范投资项目报建审批事项实施方案》的通知(湘政发[2</w:t>
      </w:r>
      <w:r>
        <w:rPr>
          <w:rFonts w:ascii="仿宋" w:hAnsi="仿宋" w:eastAsia="仿宋" w:cs="仿宋"/>
          <w:spacing w:val="-6"/>
          <w:sz w:val="32"/>
          <w:szCs w:val="32"/>
        </w:rPr>
        <w:t>016]23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9"/>
          <w:sz w:val="32"/>
          <w:szCs w:val="32"/>
        </w:rPr>
        <w:t>号)、《中</w:t>
      </w: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华</w:t>
      </w:r>
      <w:r>
        <w:rPr>
          <w:rFonts w:ascii="仿宋" w:hAnsi="仿宋" w:eastAsia="仿宋" w:cs="仿宋"/>
          <w:spacing w:val="9"/>
          <w:sz w:val="32"/>
          <w:szCs w:val="32"/>
        </w:rPr>
        <w:t>人民共和国招标投标法实施条例》(国务院2011年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0"/>
          <w:sz w:val="32"/>
          <w:szCs w:val="32"/>
        </w:rPr>
        <w:t>令613号)、《基本建设财务规则》(财政部令第81号)</w:t>
      </w:r>
      <w:r>
        <w:rPr>
          <w:rFonts w:ascii="仿宋" w:hAnsi="仿宋" w:eastAsia="仿宋" w:cs="仿宋"/>
          <w:spacing w:val="19"/>
          <w:sz w:val="32"/>
          <w:szCs w:val="32"/>
        </w:rPr>
        <w:t>、《房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屋建筑工程和市政基础设施工程竣工验收备案管理办法》(建设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3"/>
          <w:sz w:val="32"/>
          <w:szCs w:val="32"/>
        </w:rPr>
        <w:t>部令第78号)。</w:t>
      </w:r>
      <w:bookmarkStart w:id="74" w:name="_GoBack"/>
      <w:bookmarkEnd w:id="74"/>
    </w:p>
    <w:p>
      <w:pPr>
        <w:spacing w:before="175" w:line="279" w:lineRule="auto"/>
        <w:ind w:right="1219" w:firstLine="62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8"/>
          <w:sz w:val="32"/>
          <w:szCs w:val="32"/>
        </w:rPr>
        <w:t>3、</w:t>
      </w:r>
      <w:r>
        <w:rPr>
          <w:rFonts w:ascii="仿宋" w:hAnsi="仿宋" w:eastAsia="仿宋" w:cs="仿宋"/>
          <w:b/>
          <w:bCs/>
          <w:spacing w:val="-8"/>
          <w:sz w:val="32"/>
          <w:szCs w:val="32"/>
        </w:rPr>
        <w:t>其他资料。</w:t>
      </w:r>
      <w:r>
        <w:rPr>
          <w:rFonts w:ascii="仿宋" w:hAnsi="仿宋" w:eastAsia="仿宋" w:cs="仿宋"/>
          <w:spacing w:val="-8"/>
          <w:sz w:val="32"/>
          <w:szCs w:val="32"/>
        </w:rPr>
        <w:t>包括项目资金的指标文件、预算执行和</w:t>
      </w:r>
      <w:r>
        <w:rPr>
          <w:rFonts w:ascii="仿宋" w:hAnsi="仿宋" w:eastAsia="仿宋" w:cs="仿宋"/>
          <w:spacing w:val="-9"/>
          <w:sz w:val="32"/>
          <w:szCs w:val="32"/>
        </w:rPr>
        <w:t>现场评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价查阅的相关资料等。</w:t>
      </w:r>
    </w:p>
    <w:p>
      <w:pPr>
        <w:pStyle w:val="2"/>
        <w:spacing w:before="192" w:line="223" w:lineRule="auto"/>
        <w:ind w:left="824"/>
        <w:outlineLvl w:val="1"/>
      </w:pPr>
      <w:bookmarkStart w:id="56" w:name="bookmark18"/>
      <w:bookmarkEnd w:id="56"/>
      <w:r>
        <w:rPr>
          <w:b/>
          <w:bCs/>
          <w:spacing w:val="6"/>
        </w:rPr>
        <w:t>(二)绩效评价的主要内容</w:t>
      </w:r>
    </w:p>
    <w:p>
      <w:pPr>
        <w:spacing w:before="199" w:line="220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6"/>
          <w:sz w:val="32"/>
          <w:szCs w:val="32"/>
        </w:rPr>
        <w:t>1、</w:t>
      </w:r>
      <w:r>
        <w:rPr>
          <w:rFonts w:ascii="仿宋" w:hAnsi="仿宋" w:eastAsia="仿宋" w:cs="仿宋"/>
          <w:spacing w:val="-6"/>
          <w:sz w:val="32"/>
          <w:szCs w:val="32"/>
        </w:rPr>
        <w:t>立项的必要性、合规性、实施方案的可行性；</w:t>
      </w:r>
    </w:p>
    <w:p>
      <w:pPr>
        <w:spacing w:before="203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7"/>
          <w:sz w:val="32"/>
          <w:szCs w:val="32"/>
        </w:rPr>
        <w:t>2、</w:t>
      </w:r>
      <w:r>
        <w:rPr>
          <w:rFonts w:ascii="仿宋" w:hAnsi="仿宋" w:eastAsia="仿宋" w:cs="仿宋"/>
          <w:spacing w:val="-7"/>
          <w:sz w:val="32"/>
          <w:szCs w:val="32"/>
        </w:rPr>
        <w:t>资金投入和使用情况，财务管理状况；</w:t>
      </w:r>
    </w:p>
    <w:p>
      <w:pPr>
        <w:spacing w:before="191" w:line="220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6"/>
          <w:sz w:val="32"/>
          <w:szCs w:val="32"/>
        </w:rPr>
        <w:t>3、</w:t>
      </w:r>
      <w:r>
        <w:rPr>
          <w:rFonts w:ascii="仿宋" w:hAnsi="仿宋" w:eastAsia="仿宋" w:cs="仿宋"/>
          <w:spacing w:val="-6"/>
          <w:sz w:val="32"/>
          <w:szCs w:val="32"/>
        </w:rPr>
        <w:t>项目和资金管理制度办法的及健全性及执行情况；</w:t>
      </w:r>
    </w:p>
    <w:p>
      <w:pPr>
        <w:spacing w:before="203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5"/>
          <w:sz w:val="32"/>
          <w:szCs w:val="32"/>
        </w:rPr>
        <w:t>4、</w:t>
      </w:r>
      <w:r>
        <w:rPr>
          <w:rFonts w:ascii="仿宋" w:hAnsi="仿宋" w:eastAsia="仿宋" w:cs="仿宋"/>
          <w:spacing w:val="-5"/>
          <w:sz w:val="32"/>
          <w:szCs w:val="32"/>
        </w:rPr>
        <w:t>绩效目标的实现程度，以及影响绩效目标实现的因素；</w:t>
      </w:r>
    </w:p>
    <w:p>
      <w:pPr>
        <w:spacing w:before="192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15"/>
          <w:sz w:val="32"/>
          <w:szCs w:val="32"/>
        </w:rPr>
        <w:t>5、</w:t>
      </w:r>
      <w:r>
        <w:rPr>
          <w:rFonts w:ascii="仿宋" w:hAnsi="仿宋" w:eastAsia="仿宋" w:cs="仿宋"/>
          <w:spacing w:val="-15"/>
          <w:sz w:val="32"/>
          <w:szCs w:val="32"/>
        </w:rPr>
        <w:t>预算资金的绩效情况，即实现的产出情况和取得效益情况；</w:t>
      </w:r>
    </w:p>
    <w:p>
      <w:pPr>
        <w:spacing w:before="185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7"/>
          <w:sz w:val="32"/>
          <w:szCs w:val="32"/>
        </w:rPr>
        <w:t>6、</w:t>
      </w:r>
      <w:r>
        <w:rPr>
          <w:rFonts w:ascii="仿宋" w:hAnsi="仿宋" w:eastAsia="仿宋" w:cs="仿宋"/>
          <w:spacing w:val="-7"/>
          <w:sz w:val="32"/>
          <w:szCs w:val="32"/>
        </w:rPr>
        <w:t>预算支出的政策环境适应情况；</w:t>
      </w:r>
    </w:p>
    <w:p>
      <w:pPr>
        <w:spacing w:before="206" w:line="222" w:lineRule="auto"/>
        <w:ind w:left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7、其他相关内容。</w:t>
      </w:r>
    </w:p>
    <w:p>
      <w:pPr>
        <w:pStyle w:val="2"/>
        <w:spacing w:before="197" w:line="223" w:lineRule="auto"/>
        <w:ind w:left="814"/>
        <w:outlineLvl w:val="1"/>
      </w:pPr>
      <w:bookmarkStart w:id="57" w:name="bookmark19"/>
      <w:bookmarkEnd w:id="57"/>
      <w:r>
        <w:rPr>
          <w:b/>
          <w:bCs/>
          <w:spacing w:val="8"/>
        </w:rPr>
        <w:t>(三)绩效评价指标体系</w:t>
      </w:r>
    </w:p>
    <w:p>
      <w:pPr>
        <w:spacing w:before="204" w:line="323" w:lineRule="auto"/>
        <w:ind w:right="1198" w:firstLine="61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按照《湖南省财政厅关于印发湖南省预算支出绩效评价管理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6"/>
          <w:sz w:val="32"/>
          <w:szCs w:val="32"/>
        </w:rPr>
        <w:t>办法的通知》(湘财绩(2020)7号)要</w:t>
      </w:r>
      <w:r>
        <w:rPr>
          <w:rFonts w:ascii="仿宋" w:hAnsi="仿宋" w:eastAsia="仿宋" w:cs="仿宋"/>
          <w:spacing w:val="25"/>
          <w:sz w:val="32"/>
          <w:szCs w:val="32"/>
        </w:rPr>
        <w:t>求，评价组结合项目具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体情况，设计了本项目支出的评价指标体系。指标体系分为共性</w:t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43" w:line="188" w:lineRule="auto"/>
        <w:ind w:left="437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12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90" w:bottom="400" w:left="1480" w:header="0" w:footer="0" w:gutter="0"/>
          <w:cols w:space="720" w:num="1"/>
        </w:sectPr>
      </w:pPr>
    </w:p>
    <w:p>
      <w:pPr>
        <w:spacing w:line="314" w:lineRule="auto"/>
        <w:rPr>
          <w:rFonts w:ascii="Arial"/>
          <w:sz w:val="21"/>
        </w:rPr>
      </w:pPr>
    </w:p>
    <w:p>
      <w:pPr>
        <w:spacing w:before="104" w:line="329" w:lineRule="auto"/>
        <w:ind w:right="1208"/>
        <w:jc w:val="both"/>
        <w:rPr>
          <w:rFonts w:ascii="仿宋" w:hAnsi="仿宋" w:eastAsia="仿宋" w:cs="仿宋"/>
          <w:sz w:val="32"/>
          <w:szCs w:val="32"/>
        </w:rPr>
      </w:pPr>
      <w:bookmarkStart w:id="58" w:name="bookmark42"/>
      <w:bookmarkEnd w:id="58"/>
      <w:r>
        <w:rPr>
          <w:rFonts w:ascii="仿宋" w:hAnsi="仿宋" w:eastAsia="仿宋" w:cs="仿宋"/>
          <w:spacing w:val="-1"/>
          <w:sz w:val="32"/>
          <w:szCs w:val="32"/>
        </w:rPr>
        <w:t>指标和个性指标两部分，主要包括决策、过程、产出和效益四个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维度，每个维度由一级、二级、三级指标构成，满分</w:t>
      </w:r>
      <w:r>
        <w:rPr>
          <w:rFonts w:ascii="仿宋" w:hAnsi="仿宋" w:eastAsia="仿宋" w:cs="仿宋"/>
          <w:spacing w:val="3"/>
          <w:sz w:val="32"/>
          <w:szCs w:val="32"/>
        </w:rPr>
        <w:t>100分。绩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5"/>
          <w:sz w:val="32"/>
          <w:szCs w:val="32"/>
        </w:rPr>
        <w:t>效评价结果分为四个等级：90分(含)—100分为优，80分(含)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8"/>
          <w:sz w:val="32"/>
          <w:szCs w:val="32"/>
        </w:rPr>
        <w:t>—90分为良，60分(含)—80分以下为较</w:t>
      </w:r>
      <w:r>
        <w:rPr>
          <w:rFonts w:ascii="仿宋" w:hAnsi="仿宋" w:eastAsia="仿宋" w:cs="仿宋"/>
          <w:spacing w:val="17"/>
          <w:sz w:val="32"/>
          <w:szCs w:val="32"/>
        </w:rPr>
        <w:t>差，60分以下为差。</w:t>
      </w:r>
    </w:p>
    <w:p>
      <w:pPr>
        <w:pStyle w:val="2"/>
        <w:spacing w:before="29" w:line="223" w:lineRule="auto"/>
        <w:ind w:left="874"/>
        <w:outlineLvl w:val="1"/>
      </w:pPr>
      <w:bookmarkStart w:id="59" w:name="bookmark20"/>
      <w:bookmarkEnd w:id="59"/>
      <w:r>
        <w:rPr>
          <w:b/>
          <w:bCs/>
          <w:spacing w:val="8"/>
        </w:rPr>
        <w:t>(四)绩效评价的主要方法</w:t>
      </w:r>
    </w:p>
    <w:p>
      <w:pPr>
        <w:spacing w:before="208" w:line="298" w:lineRule="auto"/>
        <w:ind w:right="1187" w:firstLine="72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10"/>
          <w:sz w:val="32"/>
          <w:szCs w:val="32"/>
        </w:rPr>
        <w:t>1、</w:t>
      </w:r>
      <w:r>
        <w:rPr>
          <w:rFonts w:ascii="仿宋" w:hAnsi="仿宋" w:eastAsia="仿宋" w:cs="仿宋"/>
          <w:b/>
          <w:bCs/>
          <w:spacing w:val="-10"/>
          <w:sz w:val="32"/>
          <w:szCs w:val="32"/>
        </w:rPr>
        <w:t>目标预定与实施效果比较法。</w:t>
      </w:r>
      <w:r>
        <w:rPr>
          <w:rFonts w:ascii="仿宋" w:hAnsi="仿宋" w:eastAsia="仿宋" w:cs="仿宋"/>
          <w:spacing w:val="-10"/>
          <w:sz w:val="32"/>
          <w:szCs w:val="32"/>
        </w:rPr>
        <w:t>通过比较财政支出所产生的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0"/>
          <w:sz w:val="32"/>
          <w:szCs w:val="32"/>
        </w:rPr>
        <w:t>实际结果与预定的目标，分析完成(或未完成)目标的因素</w:t>
      </w:r>
      <w:r>
        <w:rPr>
          <w:rFonts w:ascii="仿宋" w:hAnsi="仿宋" w:eastAsia="仿宋" w:cs="仿宋"/>
          <w:spacing w:val="9"/>
          <w:sz w:val="32"/>
          <w:szCs w:val="32"/>
        </w:rPr>
        <w:t>，从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而评价财政支出绩效。</w:t>
      </w:r>
    </w:p>
    <w:p>
      <w:pPr>
        <w:spacing w:before="190" w:line="308" w:lineRule="auto"/>
        <w:ind w:right="1197" w:firstLine="65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7"/>
          <w:sz w:val="32"/>
          <w:szCs w:val="32"/>
        </w:rPr>
        <w:t>2、</w:t>
      </w:r>
      <w:r>
        <w:rPr>
          <w:rFonts w:ascii="仿宋" w:hAnsi="仿宋" w:eastAsia="仿宋" w:cs="仿宋"/>
          <w:b/>
          <w:bCs/>
          <w:spacing w:val="-7"/>
          <w:sz w:val="32"/>
          <w:szCs w:val="32"/>
        </w:rPr>
        <w:t>因素分析法。</w:t>
      </w:r>
      <w:r>
        <w:rPr>
          <w:rFonts w:ascii="仿宋" w:hAnsi="仿宋" w:eastAsia="仿宋" w:cs="仿宋"/>
          <w:spacing w:val="-7"/>
          <w:sz w:val="32"/>
          <w:szCs w:val="32"/>
        </w:rPr>
        <w:t>通过列举分析所有影响收益及成本的内外因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素，综合分析评价的方法。本项目评价在项目施工进度和项目施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工及运行成本方面需要运用因素分析法，通过运用此方法，</w:t>
      </w:r>
      <w:r>
        <w:rPr>
          <w:rFonts w:ascii="仿宋" w:hAnsi="仿宋" w:eastAsia="仿宋" w:cs="仿宋"/>
          <w:spacing w:val="-2"/>
          <w:sz w:val="32"/>
          <w:szCs w:val="32"/>
        </w:rPr>
        <w:t>找到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影响施工进度和运行成本的各种因素，经过综合评价与分析，找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到加快施工进度和降低成本的最佳方案。</w:t>
      </w:r>
    </w:p>
    <w:p>
      <w:pPr>
        <w:spacing w:before="231" w:line="302" w:lineRule="auto"/>
        <w:ind w:right="1225" w:firstLine="65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8"/>
          <w:sz w:val="32"/>
          <w:szCs w:val="32"/>
        </w:rPr>
        <w:t>3、</w:t>
      </w:r>
      <w:r>
        <w:rPr>
          <w:rFonts w:ascii="仿宋" w:hAnsi="仿宋" w:eastAsia="仿宋" w:cs="仿宋"/>
          <w:b/>
          <w:bCs/>
          <w:spacing w:val="-8"/>
          <w:sz w:val="32"/>
          <w:szCs w:val="32"/>
        </w:rPr>
        <w:t>公众评判法。</w:t>
      </w:r>
      <w:r>
        <w:rPr>
          <w:rFonts w:ascii="仿宋" w:hAnsi="仿宋" w:eastAsia="仿宋" w:cs="仿宋"/>
          <w:spacing w:val="-8"/>
          <w:sz w:val="32"/>
          <w:szCs w:val="32"/>
        </w:rPr>
        <w:t>本项目主要采用专家评议与问卷调查法，通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过若干绩效管理领域的专家对财政支出绩效进行分析，同时，设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计不同的调查问卷，发给一定数量人员填写，最后汇总分析各方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意见进行评价判断。</w:t>
      </w:r>
    </w:p>
    <w:p>
      <w:pPr>
        <w:pStyle w:val="2"/>
        <w:spacing w:before="240" w:line="223" w:lineRule="auto"/>
        <w:ind w:left="614"/>
        <w:outlineLvl w:val="1"/>
      </w:pPr>
      <w:bookmarkStart w:id="60" w:name="bookmark21"/>
      <w:bookmarkEnd w:id="60"/>
      <w:r>
        <w:rPr>
          <w:b/>
          <w:bCs/>
          <w:spacing w:val="7"/>
        </w:rPr>
        <w:t>(五)开展项目现场评价</w:t>
      </w:r>
    </w:p>
    <w:p>
      <w:pPr>
        <w:spacing w:before="170" w:line="220" w:lineRule="auto"/>
        <w:ind w:left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现场评价工作内容主要有：</w:t>
      </w:r>
    </w:p>
    <w:p>
      <w:pPr>
        <w:spacing w:before="205" w:line="328" w:lineRule="auto"/>
        <w:ind w:right="1101" w:firstLine="65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14"/>
          <w:sz w:val="32"/>
          <w:szCs w:val="32"/>
        </w:rPr>
        <w:t>1、</w:t>
      </w:r>
      <w:r>
        <w:rPr>
          <w:rFonts w:ascii="仿宋" w:hAnsi="仿宋" w:eastAsia="仿宋" w:cs="仿宋"/>
          <w:b/>
          <w:bCs/>
          <w:spacing w:val="-14"/>
          <w:sz w:val="32"/>
          <w:szCs w:val="32"/>
        </w:rPr>
        <w:t>核实数据。</w:t>
      </w:r>
      <w:r>
        <w:rPr>
          <w:rFonts w:ascii="仿宋" w:hAnsi="仿宋" w:eastAsia="仿宋" w:cs="仿宋"/>
          <w:spacing w:val="-14"/>
          <w:sz w:val="32"/>
          <w:szCs w:val="32"/>
        </w:rPr>
        <w:t>核实专项债券项目资金收入</w:t>
      </w:r>
      <w:r>
        <w:rPr>
          <w:rFonts w:ascii="仿宋" w:hAnsi="仿宋" w:eastAsia="仿宋" w:cs="仿宋"/>
          <w:spacing w:val="-15"/>
          <w:sz w:val="32"/>
          <w:szCs w:val="32"/>
        </w:rPr>
        <w:t>支出数据的准确性、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真实性。重点检查专项债券项目资金支出情况、风险</w:t>
      </w:r>
      <w:r>
        <w:rPr>
          <w:rFonts w:ascii="仿宋" w:hAnsi="仿宋" w:eastAsia="仿宋" w:cs="仿宋"/>
          <w:spacing w:val="-2"/>
          <w:sz w:val="32"/>
          <w:szCs w:val="32"/>
        </w:rPr>
        <w:t>管理及处置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"/>
          <w:sz w:val="32"/>
          <w:szCs w:val="32"/>
        </w:rPr>
        <w:t>情况，运用因素分析法、专家评判法等调查分析方法进行综</w:t>
      </w:r>
      <w:r>
        <w:rPr>
          <w:rFonts w:ascii="仿宋" w:hAnsi="仿宋" w:eastAsia="仿宋" w:cs="仿宋"/>
          <w:spacing w:val="-2"/>
          <w:sz w:val="32"/>
          <w:szCs w:val="32"/>
        </w:rPr>
        <w:t>合分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8"/>
          <w:sz w:val="32"/>
          <w:szCs w:val="32"/>
        </w:rPr>
        <w:t>析。</w:t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44" w:line="188" w:lineRule="auto"/>
        <w:ind w:left="440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13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60" w:bottom="400" w:left="1460" w:header="0" w:footer="0" w:gutter="0"/>
          <w:cols w:space="720" w:num="1"/>
        </w:sectPr>
      </w:pPr>
    </w:p>
    <w:p>
      <w:pPr>
        <w:spacing w:line="305" w:lineRule="auto"/>
        <w:rPr>
          <w:rFonts w:ascii="Arial"/>
          <w:sz w:val="21"/>
        </w:rPr>
      </w:pPr>
    </w:p>
    <w:p>
      <w:pPr>
        <w:spacing w:before="104" w:line="282" w:lineRule="auto"/>
        <w:ind w:left="69" w:right="1236" w:firstLine="544"/>
        <w:rPr>
          <w:rFonts w:ascii="仿宋" w:hAnsi="仿宋" w:eastAsia="仿宋" w:cs="仿宋"/>
          <w:sz w:val="32"/>
          <w:szCs w:val="32"/>
        </w:rPr>
      </w:pPr>
      <w:bookmarkStart w:id="61" w:name="bookmark43"/>
      <w:bookmarkEnd w:id="61"/>
      <w:r>
        <w:rPr>
          <w:rFonts w:ascii="宋体" w:hAnsi="宋体" w:eastAsia="宋体" w:cs="宋体"/>
          <w:b/>
          <w:bCs/>
          <w:spacing w:val="-8"/>
          <w:sz w:val="32"/>
          <w:szCs w:val="32"/>
        </w:rPr>
        <w:t>2、</w:t>
      </w:r>
      <w:r>
        <w:rPr>
          <w:rFonts w:ascii="仿宋" w:hAnsi="仿宋" w:eastAsia="仿宋" w:cs="仿宋"/>
          <w:b/>
          <w:bCs/>
          <w:spacing w:val="-8"/>
          <w:sz w:val="32"/>
          <w:szCs w:val="32"/>
        </w:rPr>
        <w:t>查阅资料。</w:t>
      </w:r>
      <w:r>
        <w:rPr>
          <w:rFonts w:ascii="仿宋" w:hAnsi="仿宋" w:eastAsia="仿宋" w:cs="仿宋"/>
          <w:spacing w:val="-8"/>
          <w:sz w:val="32"/>
          <w:szCs w:val="32"/>
        </w:rPr>
        <w:t>查阅项目预算安排、资金管理、资金运用、项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目前期准备、项目施工管理等相关文件资料和财务凭证。</w:t>
      </w:r>
    </w:p>
    <w:p>
      <w:pPr>
        <w:spacing w:before="197" w:line="277" w:lineRule="auto"/>
        <w:ind w:right="1240" w:firstLine="61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8"/>
          <w:sz w:val="32"/>
          <w:szCs w:val="32"/>
        </w:rPr>
        <w:t>3、</w:t>
      </w:r>
      <w:r>
        <w:rPr>
          <w:rFonts w:ascii="仿宋" w:hAnsi="仿宋" w:eastAsia="仿宋" w:cs="仿宋"/>
          <w:b/>
          <w:bCs/>
          <w:spacing w:val="-8"/>
          <w:sz w:val="32"/>
          <w:szCs w:val="32"/>
        </w:rPr>
        <w:t>实地查看。</w:t>
      </w:r>
      <w:r>
        <w:rPr>
          <w:rFonts w:ascii="仿宋" w:hAnsi="仿宋" w:eastAsia="仿宋" w:cs="仿宋"/>
          <w:spacing w:val="-8"/>
          <w:sz w:val="32"/>
          <w:szCs w:val="32"/>
        </w:rPr>
        <w:t>现场查看项目施工、进度和质量管理</w:t>
      </w:r>
      <w:r>
        <w:rPr>
          <w:rFonts w:ascii="仿宋" w:hAnsi="仿宋" w:eastAsia="仿宋" w:cs="仿宋"/>
          <w:spacing w:val="-9"/>
          <w:sz w:val="32"/>
          <w:szCs w:val="32"/>
        </w:rPr>
        <w:t>、各方履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职情况等。</w:t>
      </w:r>
    </w:p>
    <w:p>
      <w:pPr>
        <w:spacing w:before="209" w:line="221" w:lineRule="auto"/>
        <w:ind w:left="61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4、</w:t>
      </w:r>
      <w:r>
        <w:rPr>
          <w:rFonts w:ascii="仿宋" w:hAnsi="仿宋" w:eastAsia="仿宋" w:cs="仿宋"/>
          <w:b/>
          <w:bCs/>
          <w:spacing w:val="-5"/>
          <w:sz w:val="32"/>
          <w:szCs w:val="32"/>
        </w:rPr>
        <w:t>问卷调查。</w:t>
      </w:r>
      <w:r>
        <w:rPr>
          <w:rFonts w:ascii="仿宋" w:hAnsi="仿宋" w:eastAsia="仿宋" w:cs="仿宋"/>
          <w:spacing w:val="-5"/>
          <w:sz w:val="32"/>
          <w:szCs w:val="32"/>
        </w:rPr>
        <w:t>对项目建设的满意度发放问卷</w:t>
      </w:r>
      <w:r>
        <w:rPr>
          <w:rFonts w:ascii="仿宋" w:hAnsi="仿宋" w:eastAsia="仿宋" w:cs="仿宋"/>
          <w:spacing w:val="-6"/>
          <w:sz w:val="32"/>
          <w:szCs w:val="32"/>
        </w:rPr>
        <w:t>，进行调查。</w:t>
      </w:r>
    </w:p>
    <w:p>
      <w:pPr>
        <w:spacing w:before="174" w:line="279" w:lineRule="auto"/>
        <w:ind w:right="1164" w:firstLine="61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6"/>
          <w:sz w:val="32"/>
          <w:szCs w:val="32"/>
        </w:rPr>
        <w:t>5、</w:t>
      </w:r>
      <w:r>
        <w:rPr>
          <w:rFonts w:ascii="仿宋" w:hAnsi="仿宋" w:eastAsia="仿宋" w:cs="仿宋"/>
          <w:b/>
          <w:bCs/>
          <w:spacing w:val="-6"/>
          <w:sz w:val="32"/>
          <w:szCs w:val="32"/>
        </w:rPr>
        <w:t>综合分析。</w:t>
      </w:r>
      <w:r>
        <w:rPr>
          <w:rFonts w:ascii="仿宋" w:hAnsi="仿宋" w:eastAsia="仿宋" w:cs="仿宋"/>
          <w:spacing w:val="-6"/>
          <w:sz w:val="32"/>
          <w:szCs w:val="32"/>
        </w:rPr>
        <w:t>归纳汇总提供的材料及项目单位的自评报告，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结合现场调查情况进行综合分析。</w:t>
      </w:r>
    </w:p>
    <w:p>
      <w:pPr>
        <w:spacing w:before="204" w:line="283" w:lineRule="auto"/>
        <w:ind w:right="1129" w:firstLine="61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16"/>
          <w:sz w:val="32"/>
          <w:szCs w:val="32"/>
        </w:rPr>
        <w:t>6、</w:t>
      </w:r>
      <w:r>
        <w:rPr>
          <w:rFonts w:ascii="仿宋" w:hAnsi="仿宋" w:eastAsia="仿宋" w:cs="仿宋"/>
          <w:b/>
          <w:bCs/>
          <w:spacing w:val="-16"/>
          <w:sz w:val="32"/>
          <w:szCs w:val="32"/>
        </w:rPr>
        <w:t>撰写评价报告。</w:t>
      </w:r>
      <w:r>
        <w:rPr>
          <w:rFonts w:ascii="仿宋" w:hAnsi="仿宋" w:eastAsia="仿宋" w:cs="仿宋"/>
          <w:spacing w:val="-16"/>
          <w:sz w:val="32"/>
          <w:szCs w:val="32"/>
        </w:rPr>
        <w:t>评价组依据各项评价指标进行评价和打分，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形成绩效评价报告。</w:t>
      </w:r>
    </w:p>
    <w:p>
      <w:pPr>
        <w:spacing w:before="169" w:line="221" w:lineRule="auto"/>
        <w:ind w:left="614"/>
        <w:outlineLvl w:val="0"/>
        <w:rPr>
          <w:rFonts w:ascii="黑体" w:hAnsi="黑体" w:eastAsia="黑体" w:cs="黑体"/>
          <w:sz w:val="32"/>
          <w:szCs w:val="32"/>
        </w:rPr>
      </w:pPr>
      <w:bookmarkStart w:id="62" w:name="bookmark22"/>
      <w:bookmarkEnd w:id="62"/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三、项目支出主要绩效及评价结论</w:t>
      </w:r>
    </w:p>
    <w:p>
      <w:pPr>
        <w:pStyle w:val="2"/>
        <w:spacing w:before="188" w:line="227" w:lineRule="auto"/>
        <w:ind w:left="804"/>
      </w:pPr>
      <w:r>
        <w:rPr>
          <w:b/>
          <w:bCs/>
          <w:spacing w:val="11"/>
        </w:rPr>
        <w:t>(一)项目主要绩效</w:t>
      </w:r>
    </w:p>
    <w:p>
      <w:pPr>
        <w:spacing w:before="184" w:line="222" w:lineRule="auto"/>
        <w:ind w:left="61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7"/>
          <w:sz w:val="32"/>
          <w:szCs w:val="32"/>
        </w:rPr>
        <w:t>1、</w:t>
      </w:r>
      <w:r>
        <w:rPr>
          <w:rFonts w:ascii="仿宋" w:hAnsi="仿宋" w:eastAsia="仿宋" w:cs="仿宋"/>
          <w:b/>
          <w:bCs/>
          <w:spacing w:val="-7"/>
          <w:sz w:val="32"/>
          <w:szCs w:val="32"/>
        </w:rPr>
        <w:t>扩大收治容量，为提升收治能力打好基础。</w:t>
      </w:r>
    </w:p>
    <w:p>
      <w:pPr>
        <w:spacing w:before="202" w:line="323" w:lineRule="auto"/>
        <w:ind w:right="1100" w:firstLine="60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2"/>
          <w:sz w:val="32"/>
          <w:szCs w:val="32"/>
        </w:rPr>
        <w:t>通过项目的实施，新建四栋多层建筑，建筑总面</w:t>
      </w:r>
      <w:r>
        <w:rPr>
          <w:rFonts w:ascii="仿宋" w:hAnsi="仿宋" w:eastAsia="仿宋" w:cs="仿宋"/>
          <w:spacing w:val="-23"/>
          <w:sz w:val="32"/>
          <w:szCs w:val="32"/>
        </w:rPr>
        <w:t>积16596平方米，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戒毒人员收治规模由原来的500余人提升到1200人，提高了戒毒所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9"/>
          <w:sz w:val="32"/>
          <w:szCs w:val="32"/>
        </w:rPr>
        <w:t>的收治规模，为推动戒毒工作高质量发展打牢基础、创造条件。</w:t>
      </w:r>
    </w:p>
    <w:p>
      <w:pPr>
        <w:spacing w:before="72" w:line="220" w:lineRule="auto"/>
        <w:ind w:left="614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7"/>
          <w:sz w:val="32"/>
          <w:szCs w:val="32"/>
        </w:rPr>
        <w:t>2、</w:t>
      </w:r>
      <w:r>
        <w:rPr>
          <w:rFonts w:ascii="仿宋" w:hAnsi="仿宋" w:eastAsia="仿宋" w:cs="仿宋"/>
          <w:b/>
          <w:bCs/>
          <w:spacing w:val="-7"/>
          <w:sz w:val="32"/>
          <w:szCs w:val="32"/>
        </w:rPr>
        <w:t>优化场所布局，提升基础设施硬实力。</w:t>
      </w:r>
    </w:p>
    <w:p>
      <w:pPr>
        <w:spacing w:before="190" w:line="331" w:lineRule="auto"/>
        <w:ind w:right="1129" w:firstLine="60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通过项目实施，进一步完善了业务用房主体建筑，建</w:t>
      </w:r>
      <w:r>
        <w:rPr>
          <w:rFonts w:ascii="仿宋" w:hAnsi="仿宋" w:eastAsia="仿宋" w:cs="仿宋"/>
          <w:spacing w:val="-2"/>
          <w:sz w:val="32"/>
          <w:szCs w:val="32"/>
        </w:rPr>
        <w:t>筑分布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布局采用“大封闭、小开放”的格局，周界设置围墙，并根据使用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要求，合理分区。现阶段在戒毒区域内，按照戒毒人员从入所到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出所的流转顺序，区分了生理脱毒区、教育</w:t>
      </w:r>
      <w:r>
        <w:rPr>
          <w:rFonts w:ascii="仿宋" w:hAnsi="仿宋" w:eastAsia="仿宋" w:cs="仿宋"/>
          <w:spacing w:val="-10"/>
          <w:sz w:val="32"/>
          <w:szCs w:val="32"/>
        </w:rPr>
        <w:t>适应区、康复巩固区、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回归指导区，区域功能划分清晰、流程通畅，待投</w:t>
      </w:r>
      <w:r>
        <w:rPr>
          <w:rFonts w:ascii="仿宋" w:hAnsi="仿宋" w:eastAsia="仿宋" w:cs="仿宋"/>
          <w:spacing w:val="-3"/>
          <w:sz w:val="32"/>
          <w:szCs w:val="32"/>
        </w:rPr>
        <w:t>入使用时便于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管理。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before="41" w:line="188" w:lineRule="auto"/>
        <w:ind w:left="438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14</w:t>
      </w:r>
    </w:p>
    <w:p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pgSz w:w="11900" w:h="16820"/>
          <w:pgMar w:top="1429" w:right="260" w:bottom="400" w:left="1499" w:header="0" w:footer="0" w:gutter="0"/>
          <w:cols w:space="720" w:num="1"/>
        </w:sectPr>
      </w:pPr>
    </w:p>
    <w:p>
      <w:pPr>
        <w:spacing w:line="301" w:lineRule="auto"/>
        <w:rPr>
          <w:rFonts w:ascii="Arial"/>
          <w:sz w:val="21"/>
        </w:rPr>
      </w:pPr>
    </w:p>
    <w:p>
      <w:pPr>
        <w:pStyle w:val="2"/>
        <w:spacing w:before="108" w:line="223" w:lineRule="auto"/>
        <w:ind w:left="854"/>
        <w:outlineLvl w:val="1"/>
        <w:rPr>
          <w:sz w:val="33"/>
          <w:szCs w:val="33"/>
        </w:rPr>
      </w:pPr>
      <w:bookmarkStart w:id="63" w:name="bookmark44"/>
      <w:bookmarkEnd w:id="63"/>
      <w:bookmarkStart w:id="64" w:name="bookmark23"/>
      <w:bookmarkEnd w:id="64"/>
      <w:r>
        <w:rPr>
          <w:b/>
          <w:bCs/>
          <w:spacing w:val="2"/>
          <w:sz w:val="33"/>
          <w:szCs w:val="33"/>
        </w:rPr>
        <w:t>(二)绩效评价结论</w:t>
      </w:r>
    </w:p>
    <w:p>
      <w:pPr>
        <w:spacing w:before="199" w:line="319" w:lineRule="auto"/>
        <w:ind w:right="1198" w:firstLine="65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经现场调查取证和审核佐证材料，本项目绩效评价</w:t>
      </w:r>
      <w:r>
        <w:rPr>
          <w:rFonts w:ascii="仿宋" w:hAnsi="仿宋" w:eastAsia="仿宋" w:cs="仿宋"/>
          <w:spacing w:val="-12"/>
          <w:sz w:val="33"/>
          <w:szCs w:val="33"/>
        </w:rPr>
        <w:t>评价组综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合评定，事务所三级复核，邵阳市强制隔离戒毒所</w:t>
      </w:r>
      <w:r>
        <w:rPr>
          <w:rFonts w:ascii="仿宋" w:hAnsi="仿宋" w:eastAsia="仿宋" w:cs="仿宋"/>
          <w:spacing w:val="-13"/>
          <w:sz w:val="33"/>
          <w:szCs w:val="33"/>
        </w:rPr>
        <w:t>专项资金绩效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评价得分为82.79分，评价等级为“良”(评分详见附件2:邵阳市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7"/>
          <w:sz w:val="33"/>
          <w:szCs w:val="33"/>
        </w:rPr>
        <w:t>强制隔离戒毒所专项资金绩效评价指标及评分表)。</w:t>
      </w:r>
    </w:p>
    <w:p>
      <w:pPr>
        <w:spacing w:before="46" w:line="221" w:lineRule="auto"/>
        <w:ind w:left="664"/>
        <w:outlineLvl w:val="0"/>
        <w:rPr>
          <w:rFonts w:ascii="黑体" w:hAnsi="黑体" w:eastAsia="黑体" w:cs="黑体"/>
          <w:sz w:val="33"/>
          <w:szCs w:val="33"/>
        </w:rPr>
      </w:pPr>
      <w:bookmarkStart w:id="65" w:name="bookmark24"/>
      <w:bookmarkEnd w:id="65"/>
      <w:r>
        <w:rPr>
          <w:rFonts w:ascii="黑体" w:hAnsi="黑体" w:eastAsia="黑体" w:cs="黑体"/>
          <w:b/>
          <w:bCs/>
          <w:spacing w:val="-24"/>
          <w:sz w:val="33"/>
          <w:szCs w:val="33"/>
        </w:rPr>
        <w:t>四</w:t>
      </w:r>
      <w:r>
        <w:rPr>
          <w:rFonts w:ascii="黑体" w:hAnsi="黑体" w:eastAsia="黑体" w:cs="黑体"/>
          <w:spacing w:val="-67"/>
          <w:sz w:val="33"/>
          <w:szCs w:val="33"/>
        </w:rPr>
        <w:t xml:space="preserve"> </w:t>
      </w:r>
      <w:r>
        <w:rPr>
          <w:rFonts w:ascii="黑体" w:hAnsi="黑体" w:eastAsia="黑体" w:cs="黑体"/>
          <w:b/>
          <w:bCs/>
          <w:spacing w:val="-24"/>
          <w:sz w:val="33"/>
          <w:szCs w:val="33"/>
        </w:rPr>
        <w:t>、预算绩效评价指标分析</w:t>
      </w:r>
    </w:p>
    <w:p>
      <w:pPr>
        <w:pStyle w:val="2"/>
        <w:spacing w:before="170" w:line="224" w:lineRule="auto"/>
        <w:ind w:left="854"/>
        <w:outlineLvl w:val="2"/>
        <w:rPr>
          <w:sz w:val="33"/>
          <w:szCs w:val="33"/>
        </w:rPr>
      </w:pPr>
      <w:bookmarkStart w:id="66" w:name="bookmark25"/>
      <w:bookmarkEnd w:id="66"/>
      <w:r>
        <w:rPr>
          <w:b/>
          <w:bCs/>
          <w:spacing w:val="-2"/>
          <w:sz w:val="33"/>
          <w:szCs w:val="33"/>
        </w:rPr>
        <w:t>(一)项目支出决策情况</w:t>
      </w:r>
    </w:p>
    <w:p>
      <w:pPr>
        <w:spacing w:before="186" w:line="224" w:lineRule="auto"/>
        <w:ind w:left="66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9"/>
          <w:sz w:val="33"/>
          <w:szCs w:val="33"/>
        </w:rPr>
        <w:t>1、</w:t>
      </w:r>
      <w:r>
        <w:rPr>
          <w:rFonts w:ascii="仿宋" w:hAnsi="仿宋" w:eastAsia="仿宋" w:cs="仿宋"/>
          <w:b/>
          <w:bCs/>
          <w:spacing w:val="-19"/>
          <w:sz w:val="33"/>
          <w:szCs w:val="33"/>
        </w:rPr>
        <w:t>项目立项</w:t>
      </w:r>
    </w:p>
    <w:p>
      <w:pPr>
        <w:spacing w:before="180" w:line="312" w:lineRule="auto"/>
        <w:ind w:right="1216" w:firstLine="65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sz w:val="33"/>
          <w:szCs w:val="33"/>
        </w:rPr>
        <w:t>立项依据充分性：项目立项符合国家法规法律、行业发展政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策、省委省政府决策部署；符合行业发展规划和政策要求；与部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门职责范围相符；与部门同类预算支出不重复；属于公共财</w:t>
      </w:r>
      <w:r>
        <w:rPr>
          <w:rFonts w:ascii="仿宋" w:hAnsi="仿宋" w:eastAsia="仿宋" w:cs="仿宋"/>
          <w:spacing w:val="-13"/>
          <w:sz w:val="33"/>
          <w:szCs w:val="33"/>
        </w:rPr>
        <w:t>政支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持范围。此项分值4分，得分4分。</w:t>
      </w:r>
    </w:p>
    <w:p>
      <w:pPr>
        <w:spacing w:before="79" w:line="312" w:lineRule="auto"/>
        <w:ind w:right="1218" w:firstLine="65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sz w:val="33"/>
          <w:szCs w:val="33"/>
        </w:rPr>
        <w:t>立项程序规范性：项目事前经过了必要的可行性研究和集体</w:t>
      </w:r>
      <w:r>
        <w:rPr>
          <w:rFonts w:ascii="仿宋" w:hAnsi="仿宋" w:eastAsia="仿宋" w:cs="仿宋"/>
          <w:spacing w:val="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决策，进行了勘察、设计、用地、环评、开工等前期批复程</w:t>
      </w:r>
      <w:r>
        <w:rPr>
          <w:rFonts w:ascii="仿宋" w:hAnsi="仿宋" w:eastAsia="仿宋" w:cs="仿宋"/>
          <w:spacing w:val="-12"/>
          <w:sz w:val="33"/>
          <w:szCs w:val="33"/>
        </w:rPr>
        <w:t>序，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"/>
          <w:sz w:val="33"/>
          <w:szCs w:val="33"/>
        </w:rPr>
        <w:t>但在未取得开工许可证的情况下提前开工，扣</w:t>
      </w:r>
      <w:r>
        <w:rPr>
          <w:rFonts w:ascii="仿宋" w:hAnsi="仿宋" w:eastAsia="仿宋" w:cs="仿宋"/>
          <w:sz w:val="33"/>
          <w:szCs w:val="33"/>
        </w:rPr>
        <w:t xml:space="preserve">1分。此项分值3 </w:t>
      </w:r>
      <w:r>
        <w:rPr>
          <w:rFonts w:ascii="仿宋" w:hAnsi="仿宋" w:eastAsia="仿宋" w:cs="仿宋"/>
          <w:spacing w:val="8"/>
          <w:sz w:val="33"/>
          <w:szCs w:val="33"/>
        </w:rPr>
        <w:t>分，得分2分。</w:t>
      </w:r>
    </w:p>
    <w:p>
      <w:pPr>
        <w:spacing w:before="77" w:line="222" w:lineRule="auto"/>
        <w:ind w:left="63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5"/>
          <w:sz w:val="33"/>
          <w:szCs w:val="33"/>
        </w:rPr>
        <w:t>2、</w:t>
      </w:r>
      <w:r>
        <w:rPr>
          <w:rFonts w:ascii="仿宋" w:hAnsi="仿宋" w:eastAsia="仿宋" w:cs="仿宋"/>
          <w:b/>
          <w:bCs/>
          <w:spacing w:val="-15"/>
          <w:sz w:val="33"/>
          <w:szCs w:val="33"/>
        </w:rPr>
        <w:t>绩效目标</w:t>
      </w:r>
    </w:p>
    <w:p>
      <w:pPr>
        <w:spacing w:before="193" w:line="314" w:lineRule="auto"/>
        <w:ind w:right="1206" w:firstLine="65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sz w:val="33"/>
          <w:szCs w:val="33"/>
        </w:rPr>
        <w:t>绩效目标和理性：项目有绩效目标，项目绩效目标与预算确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定的项目投资额匹配，预期产出符合正常的业绩水平，</w:t>
      </w:r>
      <w:r>
        <w:rPr>
          <w:rFonts w:ascii="仿宋" w:hAnsi="仿宋" w:eastAsia="仿宋" w:cs="仿宋"/>
          <w:spacing w:val="-12"/>
          <w:sz w:val="33"/>
          <w:szCs w:val="33"/>
        </w:rPr>
        <w:t>项目绩效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3"/>
          <w:sz w:val="33"/>
          <w:szCs w:val="33"/>
        </w:rPr>
        <w:t>目标与实际工作内容相关。此项分值2分，得分2分。</w:t>
      </w:r>
    </w:p>
    <w:p>
      <w:pPr>
        <w:spacing w:before="67" w:line="323" w:lineRule="auto"/>
        <w:ind w:right="1201" w:firstLine="65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绩效指标明确性：设置的成本效益指标未量</w:t>
      </w:r>
      <w:r>
        <w:rPr>
          <w:rFonts w:ascii="仿宋" w:hAnsi="仿宋" w:eastAsia="仿宋" w:cs="仿宋"/>
          <w:spacing w:val="-12"/>
          <w:sz w:val="33"/>
          <w:szCs w:val="33"/>
        </w:rPr>
        <w:t>化、效益指标与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6"/>
          <w:sz w:val="33"/>
          <w:szCs w:val="33"/>
        </w:rPr>
        <w:t>项目联系不紧密，扣1分。此项分值6分，</w:t>
      </w:r>
      <w:r>
        <w:rPr>
          <w:rFonts w:ascii="仿宋" w:hAnsi="仿宋" w:eastAsia="仿宋" w:cs="仿宋"/>
          <w:spacing w:val="5"/>
          <w:sz w:val="33"/>
          <w:szCs w:val="33"/>
        </w:rPr>
        <w:t>得分5分。</w:t>
      </w:r>
    </w:p>
    <w:p>
      <w:pPr>
        <w:spacing w:line="260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before="44" w:line="188" w:lineRule="auto"/>
        <w:ind w:left="438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15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60" w:bottom="400" w:left="1489" w:header="0" w:footer="0" w:gutter="0"/>
          <w:cols w:space="720" w:num="1"/>
        </w:sectPr>
      </w:pPr>
    </w:p>
    <w:p>
      <w:pPr>
        <w:spacing w:line="319" w:lineRule="auto"/>
        <w:rPr>
          <w:rFonts w:ascii="Arial"/>
          <w:sz w:val="21"/>
        </w:rPr>
      </w:pPr>
    </w:p>
    <w:p>
      <w:pPr>
        <w:spacing w:before="107" w:line="224" w:lineRule="auto"/>
        <w:ind w:left="644"/>
        <w:rPr>
          <w:rFonts w:ascii="仿宋" w:hAnsi="仿宋" w:eastAsia="仿宋" w:cs="仿宋"/>
          <w:sz w:val="33"/>
          <w:szCs w:val="33"/>
        </w:rPr>
      </w:pPr>
      <w:bookmarkStart w:id="67" w:name="bookmark45"/>
      <w:bookmarkEnd w:id="67"/>
      <w:r>
        <w:rPr>
          <w:rFonts w:ascii="宋体" w:hAnsi="宋体" w:eastAsia="宋体" w:cs="宋体"/>
          <w:b/>
          <w:bCs/>
          <w:spacing w:val="-10"/>
          <w:sz w:val="33"/>
          <w:szCs w:val="33"/>
        </w:rPr>
        <w:t>3、</w:t>
      </w:r>
      <w:r>
        <w:rPr>
          <w:rFonts w:ascii="仿宋" w:hAnsi="仿宋" w:eastAsia="仿宋" w:cs="仿宋"/>
          <w:b/>
          <w:bCs/>
          <w:spacing w:val="-10"/>
          <w:sz w:val="33"/>
          <w:szCs w:val="33"/>
        </w:rPr>
        <w:t>资金投入</w:t>
      </w:r>
    </w:p>
    <w:p>
      <w:pPr>
        <w:spacing w:before="178" w:line="314" w:lineRule="auto"/>
        <w:ind w:left="9" w:right="1144" w:firstLine="62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8"/>
          <w:sz w:val="33"/>
          <w:szCs w:val="33"/>
        </w:rPr>
        <w:t>预算编制科学性：预算额度是按照可行性研究概算编制的，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9"/>
          <w:sz w:val="33"/>
          <w:szCs w:val="33"/>
        </w:rPr>
        <w:t>预算编制内容与项目内容匹配，且通过了市发改委和市</w:t>
      </w:r>
      <w:r>
        <w:rPr>
          <w:rFonts w:ascii="仿宋" w:hAnsi="仿宋" w:eastAsia="仿宋" w:cs="仿宋"/>
          <w:spacing w:val="-20"/>
          <w:sz w:val="33"/>
          <w:szCs w:val="33"/>
        </w:rPr>
        <w:t>财政批复，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项目投资额与工作任务匹配。此项分值2分，得分2分。</w:t>
      </w:r>
    </w:p>
    <w:p>
      <w:pPr>
        <w:spacing w:before="55" w:line="310" w:lineRule="auto"/>
        <w:ind w:left="9" w:right="1325" w:firstLine="62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5"/>
          <w:sz w:val="33"/>
          <w:szCs w:val="33"/>
        </w:rPr>
        <w:t>资金分配合理性：预算资金分配依据充分，分配额度合理，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与项目单位实际相适应。此项分值2分，得分2分。</w:t>
      </w:r>
    </w:p>
    <w:p>
      <w:pPr>
        <w:pStyle w:val="2"/>
        <w:spacing w:before="52" w:line="227" w:lineRule="auto"/>
        <w:ind w:left="854"/>
        <w:outlineLvl w:val="2"/>
        <w:rPr>
          <w:sz w:val="33"/>
          <w:szCs w:val="33"/>
        </w:rPr>
      </w:pPr>
      <w:bookmarkStart w:id="68" w:name="bookmark26"/>
      <w:bookmarkEnd w:id="68"/>
      <w:r>
        <w:rPr>
          <w:b/>
          <w:bCs/>
          <w:sz w:val="33"/>
          <w:szCs w:val="33"/>
        </w:rPr>
        <w:t>(二)项目执行过程情况</w:t>
      </w:r>
    </w:p>
    <w:p>
      <w:pPr>
        <w:spacing w:before="175" w:line="224" w:lineRule="auto"/>
        <w:ind w:left="64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-13"/>
          <w:sz w:val="33"/>
          <w:szCs w:val="33"/>
        </w:rPr>
        <w:t>1、资金管理</w:t>
      </w:r>
    </w:p>
    <w:p>
      <w:pPr>
        <w:spacing w:before="181" w:line="315" w:lineRule="auto"/>
        <w:ind w:left="9" w:right="1215" w:firstLine="62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"/>
          <w:sz w:val="33"/>
          <w:szCs w:val="33"/>
        </w:rPr>
        <w:t>资金到位率：项目资金预算5643万元，实际到位资金4821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2"/>
          <w:sz w:val="33"/>
          <w:szCs w:val="33"/>
        </w:rPr>
        <w:t>万元，未到位资金822万元，占比14.57%</w:t>
      </w:r>
      <w:r>
        <w:rPr>
          <w:rFonts w:ascii="仿宋" w:hAnsi="仿宋" w:eastAsia="仿宋" w:cs="仿宋"/>
          <w:spacing w:val="11"/>
          <w:sz w:val="33"/>
          <w:szCs w:val="33"/>
        </w:rPr>
        <w:t>。此项分值4分，扣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14.57%*4分=0.58分，得分3.42分。</w:t>
      </w:r>
    </w:p>
    <w:p>
      <w:pPr>
        <w:spacing w:before="40" w:line="318" w:lineRule="auto"/>
        <w:ind w:right="1227" w:firstLine="63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4"/>
          <w:sz w:val="33"/>
          <w:szCs w:val="33"/>
        </w:rPr>
        <w:t>预算执行率：项目资金到位4821万元，实际支出4611.34万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元，未使用资金209.66万元，占比4.35%。此项分值3分，扣分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3"/>
          <w:szCs w:val="33"/>
        </w:rPr>
        <w:t>4.35%*3=0.13</w:t>
      </w:r>
      <w:r>
        <w:rPr>
          <w:rFonts w:ascii="仿宋" w:hAnsi="仿宋" w:eastAsia="仿宋" w:cs="仿宋"/>
          <w:spacing w:val="-1"/>
          <w:sz w:val="33"/>
          <w:szCs w:val="33"/>
        </w:rPr>
        <w:t>分，得分2.87分。</w:t>
      </w:r>
    </w:p>
    <w:p>
      <w:pPr>
        <w:spacing w:before="32" w:line="314" w:lineRule="auto"/>
        <w:ind w:left="9" w:right="1114" w:firstLine="62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sz w:val="33"/>
          <w:szCs w:val="33"/>
        </w:rPr>
        <w:t>资金使用合规性：资金使用符合国家财经法规和财务管理办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8"/>
          <w:sz w:val="33"/>
          <w:szCs w:val="33"/>
        </w:rPr>
        <w:t>法，拨付审批流程完整严谨，按预算规定用途使用，不存</w:t>
      </w:r>
      <w:r>
        <w:rPr>
          <w:rFonts w:ascii="仿宋" w:hAnsi="仿宋" w:eastAsia="仿宋" w:cs="仿宋"/>
          <w:spacing w:val="-19"/>
          <w:sz w:val="33"/>
          <w:szCs w:val="33"/>
        </w:rPr>
        <w:t>在截留、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挤占、挪用、虚列支出等情况。此项分值8分，得分8分。</w:t>
      </w:r>
    </w:p>
    <w:p>
      <w:pPr>
        <w:spacing w:before="67" w:line="222" w:lineRule="auto"/>
        <w:ind w:left="64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4"/>
          <w:sz w:val="33"/>
          <w:szCs w:val="33"/>
        </w:rPr>
        <w:t>2、</w:t>
      </w:r>
      <w:r>
        <w:rPr>
          <w:rFonts w:ascii="仿宋" w:hAnsi="仿宋" w:eastAsia="仿宋" w:cs="仿宋"/>
          <w:b/>
          <w:bCs/>
          <w:spacing w:val="-14"/>
          <w:sz w:val="33"/>
          <w:szCs w:val="33"/>
        </w:rPr>
        <w:t>项目实施</w:t>
      </w:r>
    </w:p>
    <w:p>
      <w:pPr>
        <w:spacing w:before="185" w:line="317" w:lineRule="auto"/>
        <w:ind w:left="9" w:right="1294" w:firstLine="62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4"/>
          <w:sz w:val="33"/>
          <w:szCs w:val="33"/>
        </w:rPr>
        <w:t>管理制度健全有效性：已制定相应的财务和业务管理制度，</w:t>
      </w:r>
      <w:r>
        <w:rPr>
          <w:rFonts w:ascii="仿宋" w:hAnsi="仿宋" w:eastAsia="仿宋" w:cs="仿宋"/>
          <w:spacing w:val="1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"/>
          <w:sz w:val="33"/>
          <w:szCs w:val="33"/>
        </w:rPr>
        <w:t>合法、合规、完整。此项分值2分，得分2分。</w:t>
      </w:r>
    </w:p>
    <w:p>
      <w:pPr>
        <w:spacing w:before="23" w:line="321" w:lineRule="auto"/>
        <w:ind w:left="9" w:right="1222" w:firstLine="62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制度执行有效性：项目出现超工期完成项目建设、结算工作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不及时、竣工备案工作不及时、专项资金利息未上缴国库、文明</w:t>
      </w:r>
      <w:r>
        <w:rPr>
          <w:rFonts w:ascii="仿宋" w:hAnsi="仿宋" w:eastAsia="仿宋" w:cs="仿宋"/>
          <w:spacing w:val="1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施工不到位问题，扣1.5分。此项分值6分，得分4.5分。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44" w:line="188" w:lineRule="auto"/>
        <w:ind w:left="440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16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60" w:bottom="400" w:left="1470" w:header="0" w:footer="0" w:gutter="0"/>
          <w:cols w:space="720" w:num="1"/>
        </w:sectPr>
      </w:pPr>
    </w:p>
    <w:p>
      <w:pPr>
        <w:spacing w:line="303" w:lineRule="auto"/>
        <w:rPr>
          <w:rFonts w:ascii="Arial"/>
          <w:sz w:val="21"/>
        </w:rPr>
      </w:pPr>
    </w:p>
    <w:p>
      <w:pPr>
        <w:spacing w:before="107" w:line="312" w:lineRule="auto"/>
        <w:ind w:right="1134" w:firstLine="6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9"/>
          <w:sz w:val="33"/>
          <w:szCs w:val="33"/>
        </w:rPr>
        <w:t>招标及政府采购：项目招标和政府采购程序及手续合法合规；</w:t>
      </w:r>
      <w:r>
        <w:rPr>
          <w:rFonts w:ascii="仿宋" w:hAnsi="仿宋" w:eastAsia="仿宋" w:cs="仿宋"/>
          <w:spacing w:val="1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合同签订及执行规范，工程、设备、原材料等采购需求与项目实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7"/>
          <w:sz w:val="33"/>
          <w:szCs w:val="33"/>
        </w:rPr>
        <w:t>际需求吻合，不存在重复或浪费现象。此项分值3分，得分3分。</w:t>
      </w:r>
    </w:p>
    <w:p>
      <w:pPr>
        <w:spacing w:before="67" w:line="317" w:lineRule="auto"/>
        <w:ind w:right="1203" w:firstLine="6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项目质量控制：项目编制了科学合理的施工计划，具</w:t>
      </w:r>
      <w:r>
        <w:rPr>
          <w:rFonts w:ascii="仿宋" w:hAnsi="仿宋" w:eastAsia="仿宋" w:cs="仿宋"/>
          <w:spacing w:val="-12"/>
          <w:sz w:val="33"/>
          <w:szCs w:val="33"/>
        </w:rPr>
        <w:t>体说明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9"/>
          <w:sz w:val="33"/>
          <w:szCs w:val="33"/>
        </w:rPr>
        <w:t>了项目质量要求。项目实施采取了相应的质量检查、验收</w:t>
      </w:r>
      <w:r>
        <w:rPr>
          <w:rFonts w:ascii="仿宋" w:hAnsi="仿宋" w:eastAsia="仿宋" w:cs="仿宋"/>
          <w:spacing w:val="-10"/>
          <w:sz w:val="33"/>
          <w:szCs w:val="33"/>
        </w:rPr>
        <w:t>等必需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9"/>
          <w:sz w:val="33"/>
          <w:szCs w:val="33"/>
        </w:rPr>
        <w:t>措施，项目使用的材料、设备具有相应的合格证明和检测</w:t>
      </w:r>
      <w:r>
        <w:rPr>
          <w:rFonts w:ascii="仿宋" w:hAnsi="仿宋" w:eastAsia="仿宋" w:cs="仿宋"/>
          <w:spacing w:val="-10"/>
          <w:sz w:val="33"/>
          <w:szCs w:val="33"/>
        </w:rPr>
        <w:t>证明。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2"/>
          <w:sz w:val="33"/>
          <w:szCs w:val="33"/>
        </w:rPr>
        <w:t>此项分值5分，得分5分。</w:t>
      </w:r>
    </w:p>
    <w:p>
      <w:pPr>
        <w:pStyle w:val="2"/>
        <w:spacing w:before="42" w:line="223" w:lineRule="auto"/>
        <w:ind w:left="844"/>
        <w:outlineLvl w:val="2"/>
        <w:rPr>
          <w:sz w:val="33"/>
          <w:szCs w:val="33"/>
        </w:rPr>
      </w:pPr>
      <w:bookmarkStart w:id="69" w:name="bookmark27"/>
      <w:bookmarkEnd w:id="69"/>
      <w:r>
        <w:rPr>
          <w:b/>
          <w:bCs/>
          <w:sz w:val="33"/>
          <w:szCs w:val="33"/>
        </w:rPr>
        <w:t>(三)项目支出产出情况</w:t>
      </w:r>
    </w:p>
    <w:p>
      <w:pPr>
        <w:spacing w:before="178" w:line="223" w:lineRule="auto"/>
        <w:ind w:left="64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8"/>
          <w:sz w:val="33"/>
          <w:szCs w:val="33"/>
        </w:rPr>
        <w:t>1、</w:t>
      </w:r>
      <w:r>
        <w:rPr>
          <w:rFonts w:ascii="仿宋" w:hAnsi="仿宋" w:eastAsia="仿宋" w:cs="仿宋"/>
          <w:b/>
          <w:bCs/>
          <w:spacing w:val="-18"/>
          <w:sz w:val="33"/>
          <w:szCs w:val="33"/>
        </w:rPr>
        <w:t>产出数量</w:t>
      </w:r>
    </w:p>
    <w:p>
      <w:pPr>
        <w:spacing w:before="193" w:line="308" w:lineRule="auto"/>
        <w:ind w:right="1255" w:firstLine="6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20"/>
          <w:sz w:val="33"/>
          <w:szCs w:val="33"/>
        </w:rPr>
        <w:t>完成四栋多层公共建筑，总建筑面积为16751.35平方米，产出</w:t>
      </w:r>
      <w:r>
        <w:rPr>
          <w:rFonts w:ascii="仿宋" w:hAnsi="仿宋" w:eastAsia="仿宋" w:cs="仿宋"/>
          <w:spacing w:val="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4"/>
          <w:sz w:val="33"/>
          <w:szCs w:val="33"/>
        </w:rPr>
        <w:t>质量与预期目标相符。此项分值9分，得分</w:t>
      </w:r>
      <w:r>
        <w:rPr>
          <w:rFonts w:ascii="仿宋" w:hAnsi="仿宋" w:eastAsia="仿宋" w:cs="仿宋"/>
          <w:spacing w:val="-15"/>
          <w:sz w:val="33"/>
          <w:szCs w:val="33"/>
        </w:rPr>
        <w:t>9分。</w:t>
      </w:r>
    </w:p>
    <w:p>
      <w:pPr>
        <w:spacing w:before="47" w:line="224" w:lineRule="auto"/>
        <w:ind w:left="64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1"/>
          <w:sz w:val="33"/>
          <w:szCs w:val="33"/>
        </w:rPr>
        <w:t>3、</w:t>
      </w:r>
      <w:r>
        <w:rPr>
          <w:rFonts w:ascii="仿宋" w:hAnsi="仿宋" w:eastAsia="仿宋" w:cs="仿宋"/>
          <w:b/>
          <w:bCs/>
          <w:spacing w:val="-11"/>
          <w:sz w:val="33"/>
          <w:szCs w:val="33"/>
        </w:rPr>
        <w:t>产出质量</w:t>
      </w:r>
    </w:p>
    <w:p>
      <w:pPr>
        <w:spacing w:before="180" w:line="311" w:lineRule="auto"/>
        <w:ind w:right="1228" w:firstLine="6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8"/>
          <w:sz w:val="33"/>
          <w:szCs w:val="33"/>
        </w:rPr>
        <w:t>项目建设符合《强制隔离戒毒所建设标准》</w:t>
      </w:r>
      <w:r>
        <w:rPr>
          <w:rFonts w:ascii="仿宋" w:hAnsi="仿宋" w:eastAsia="仿宋" w:cs="仿宋"/>
          <w:spacing w:val="-9"/>
          <w:sz w:val="33"/>
          <w:szCs w:val="33"/>
        </w:rPr>
        <w:t>(建标170-2014)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要求，工程质量达标为合格。此项分值9分，得分9分。</w:t>
      </w:r>
    </w:p>
    <w:p>
      <w:pPr>
        <w:spacing w:before="36" w:line="223" w:lineRule="auto"/>
        <w:ind w:left="64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-11"/>
          <w:sz w:val="33"/>
          <w:szCs w:val="33"/>
        </w:rPr>
        <w:t>4、产出时效</w:t>
      </w:r>
    </w:p>
    <w:p>
      <w:pPr>
        <w:spacing w:before="190" w:line="318" w:lineRule="auto"/>
        <w:ind w:right="1235" w:firstLine="63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8"/>
          <w:sz w:val="33"/>
          <w:szCs w:val="33"/>
        </w:rPr>
        <w:t>项目施工合同约定实施时间为300个日历天数。实际项目在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6"/>
          <w:sz w:val="33"/>
          <w:szCs w:val="33"/>
        </w:rPr>
        <w:t>2019年11月20日开工，按照合同约定，应在2020年9月15日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1"/>
          <w:sz w:val="33"/>
          <w:szCs w:val="33"/>
        </w:rPr>
        <w:t>竣工。本工程于2021年7月30日竣工验收，实</w:t>
      </w:r>
      <w:r>
        <w:rPr>
          <w:rFonts w:ascii="仿宋" w:hAnsi="仿宋" w:eastAsia="仿宋" w:cs="仿宋"/>
          <w:spacing w:val="10"/>
          <w:sz w:val="33"/>
          <w:szCs w:val="33"/>
        </w:rPr>
        <w:t>际工期618个日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2"/>
          <w:sz w:val="33"/>
          <w:szCs w:val="33"/>
        </w:rPr>
        <w:t>历天，超期318天。此项分值6分，扣6分，得分0分。</w:t>
      </w:r>
    </w:p>
    <w:p>
      <w:pPr>
        <w:spacing w:before="67" w:line="222" w:lineRule="auto"/>
        <w:ind w:left="64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8"/>
          <w:sz w:val="33"/>
          <w:szCs w:val="33"/>
        </w:rPr>
        <w:t>4、</w:t>
      </w:r>
      <w:r>
        <w:rPr>
          <w:rFonts w:ascii="仿宋" w:hAnsi="仿宋" w:eastAsia="仿宋" w:cs="仿宋"/>
          <w:b/>
          <w:bCs/>
          <w:spacing w:val="-18"/>
          <w:sz w:val="33"/>
          <w:szCs w:val="33"/>
        </w:rPr>
        <w:t>产出成本</w:t>
      </w:r>
    </w:p>
    <w:p>
      <w:pPr>
        <w:spacing w:before="191" w:line="312" w:lineRule="auto"/>
        <w:ind w:right="1275" w:firstLine="6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11"/>
          <w:sz w:val="33"/>
          <w:szCs w:val="33"/>
        </w:rPr>
        <w:t>截至2022年7月30日，项目累计支出4611.34万元，在预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算资金总额内。此项分值6分，得分6分。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44" w:line="188" w:lineRule="auto"/>
        <w:ind w:left="437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17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60" w:bottom="400" w:left="1450" w:header="0" w:footer="0" w:gutter="0"/>
          <w:cols w:space="720" w:num="1"/>
        </w:sectPr>
      </w:pPr>
    </w:p>
    <w:p>
      <w:pPr>
        <w:spacing w:line="307" w:lineRule="auto"/>
        <w:rPr>
          <w:rFonts w:ascii="Arial"/>
          <w:sz w:val="21"/>
        </w:rPr>
      </w:pPr>
    </w:p>
    <w:p>
      <w:pPr>
        <w:pStyle w:val="2"/>
        <w:spacing w:before="108" w:line="227" w:lineRule="auto"/>
        <w:ind w:left="874"/>
        <w:outlineLvl w:val="2"/>
        <w:rPr>
          <w:sz w:val="33"/>
          <w:szCs w:val="33"/>
        </w:rPr>
      </w:pPr>
      <w:bookmarkStart w:id="70" w:name="bookmark28"/>
      <w:bookmarkEnd w:id="70"/>
      <w:r>
        <w:rPr>
          <w:b/>
          <w:bCs/>
          <w:spacing w:val="-2"/>
          <w:sz w:val="33"/>
          <w:szCs w:val="33"/>
        </w:rPr>
        <w:t>(四)项目支出效益情况</w:t>
      </w:r>
    </w:p>
    <w:p>
      <w:pPr>
        <w:spacing w:before="165" w:line="223" w:lineRule="auto"/>
        <w:ind w:left="62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6"/>
          <w:sz w:val="33"/>
          <w:szCs w:val="33"/>
        </w:rPr>
        <w:t>1、</w:t>
      </w:r>
      <w:r>
        <w:rPr>
          <w:rFonts w:ascii="仿宋" w:hAnsi="仿宋" w:eastAsia="仿宋" w:cs="仿宋"/>
          <w:b/>
          <w:bCs/>
          <w:spacing w:val="-16"/>
          <w:sz w:val="33"/>
          <w:szCs w:val="33"/>
        </w:rPr>
        <w:t>社会效益</w:t>
      </w:r>
    </w:p>
    <w:p>
      <w:pPr>
        <w:spacing w:before="205" w:line="309" w:lineRule="auto"/>
        <w:ind w:right="1154" w:firstLine="61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sz w:val="33"/>
          <w:szCs w:val="33"/>
        </w:rPr>
        <w:t>项目建设完成后，由于配套设施建设还未到位，达不到收治</w:t>
      </w:r>
      <w:r>
        <w:rPr>
          <w:rFonts w:ascii="仿宋" w:hAnsi="仿宋" w:eastAsia="仿宋" w:cs="仿宋"/>
          <w:spacing w:val="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4"/>
          <w:sz w:val="33"/>
          <w:szCs w:val="33"/>
        </w:rPr>
        <w:t>要求，无法投入使用，所以，未产生实质性的社会效益，扣4分。</w:t>
      </w:r>
      <w:r>
        <w:rPr>
          <w:rFonts w:ascii="仿宋" w:hAnsi="仿宋" w:eastAsia="仿宋" w:cs="仿宋"/>
          <w:spacing w:val="1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2"/>
          <w:sz w:val="33"/>
          <w:szCs w:val="33"/>
        </w:rPr>
        <w:t>此项分值4分，得分0分。</w:t>
      </w:r>
    </w:p>
    <w:p>
      <w:pPr>
        <w:spacing w:before="53" w:line="220" w:lineRule="auto"/>
        <w:ind w:left="62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4"/>
          <w:sz w:val="33"/>
          <w:szCs w:val="33"/>
        </w:rPr>
        <w:t>2、</w:t>
      </w:r>
      <w:r>
        <w:rPr>
          <w:rFonts w:ascii="仿宋" w:hAnsi="仿宋" w:eastAsia="仿宋" w:cs="仿宋"/>
          <w:b/>
          <w:bCs/>
          <w:spacing w:val="-14"/>
          <w:sz w:val="33"/>
          <w:szCs w:val="33"/>
        </w:rPr>
        <w:t>可持续性影响</w:t>
      </w:r>
    </w:p>
    <w:p>
      <w:pPr>
        <w:spacing w:before="205" w:line="304" w:lineRule="auto"/>
        <w:ind w:right="1154" w:firstLine="61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3"/>
          <w:sz w:val="33"/>
          <w:szCs w:val="33"/>
        </w:rPr>
        <w:t>项目实施过程未发生影响发展的事件、事故。此项分值5分，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4"/>
          <w:sz w:val="33"/>
          <w:szCs w:val="33"/>
        </w:rPr>
        <w:t>得分5分。</w:t>
      </w:r>
    </w:p>
    <w:p>
      <w:pPr>
        <w:spacing w:before="58" w:line="222" w:lineRule="auto"/>
        <w:ind w:left="62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9"/>
          <w:sz w:val="33"/>
          <w:szCs w:val="33"/>
        </w:rPr>
        <w:t>3、</w:t>
      </w:r>
      <w:r>
        <w:rPr>
          <w:rFonts w:ascii="仿宋" w:hAnsi="仿宋" w:eastAsia="仿宋" w:cs="仿宋"/>
          <w:b/>
          <w:bCs/>
          <w:spacing w:val="-9"/>
          <w:sz w:val="33"/>
          <w:szCs w:val="33"/>
        </w:rPr>
        <w:t>满意度</w:t>
      </w:r>
    </w:p>
    <w:p>
      <w:pPr>
        <w:spacing w:before="205" w:line="221" w:lineRule="auto"/>
        <w:ind w:left="61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9"/>
          <w:sz w:val="33"/>
          <w:szCs w:val="33"/>
        </w:rPr>
        <w:t>通过问卷调查，根据问卷结果统计满意度为95.37%。</w:t>
      </w:r>
    </w:p>
    <w:p>
      <w:pPr>
        <w:spacing w:before="173" w:line="222" w:lineRule="auto"/>
        <w:ind w:left="624"/>
        <w:outlineLvl w:val="0"/>
        <w:rPr>
          <w:rFonts w:ascii="黑体" w:hAnsi="黑体" w:eastAsia="黑体" w:cs="黑体"/>
          <w:sz w:val="33"/>
          <w:szCs w:val="33"/>
        </w:rPr>
      </w:pPr>
      <w:bookmarkStart w:id="71" w:name="bookmark29"/>
      <w:bookmarkEnd w:id="71"/>
      <w:r>
        <w:rPr>
          <w:rFonts w:ascii="黑体" w:hAnsi="黑体" w:eastAsia="黑体" w:cs="黑体"/>
          <w:b/>
          <w:bCs/>
          <w:spacing w:val="-18"/>
          <w:sz w:val="33"/>
          <w:szCs w:val="33"/>
        </w:rPr>
        <w:t>五、主要经验与做法</w:t>
      </w:r>
    </w:p>
    <w:p>
      <w:pPr>
        <w:pStyle w:val="2"/>
        <w:spacing w:before="172" w:line="220" w:lineRule="auto"/>
        <w:ind w:left="624"/>
        <w:rPr>
          <w:sz w:val="33"/>
          <w:szCs w:val="33"/>
        </w:rPr>
      </w:pPr>
      <w:r>
        <w:rPr>
          <w:b/>
          <w:bCs/>
          <w:spacing w:val="-18"/>
          <w:sz w:val="33"/>
          <w:szCs w:val="33"/>
        </w:rPr>
        <w:t>通过各方面措施，提升专项资金管理水平。</w:t>
      </w:r>
    </w:p>
    <w:p>
      <w:pPr>
        <w:spacing w:before="187" w:line="299" w:lineRule="auto"/>
        <w:ind w:right="1257" w:firstLine="62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-24"/>
          <w:sz w:val="33"/>
          <w:szCs w:val="33"/>
        </w:rPr>
        <w:t>(一)加强制度建设。</w:t>
      </w:r>
      <w:r>
        <w:rPr>
          <w:rFonts w:ascii="仿宋" w:hAnsi="仿宋" w:eastAsia="仿宋" w:cs="仿宋"/>
          <w:spacing w:val="-24"/>
          <w:sz w:val="33"/>
          <w:szCs w:val="33"/>
        </w:rPr>
        <w:t>首先，建立健全项目资金管理制度。为提</w:t>
      </w:r>
      <w:r>
        <w:rPr>
          <w:rFonts w:ascii="仿宋" w:hAnsi="仿宋" w:eastAsia="仿宋" w:cs="仿宋"/>
          <w:spacing w:val="1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3"/>
          <w:sz w:val="33"/>
          <w:szCs w:val="33"/>
        </w:rPr>
        <w:t>高工程项目资金的使用效益，切实加强资金财政财</w:t>
      </w:r>
      <w:r>
        <w:rPr>
          <w:rFonts w:ascii="仿宋" w:hAnsi="仿宋" w:eastAsia="仿宋" w:cs="仿宋"/>
          <w:spacing w:val="-14"/>
          <w:sz w:val="33"/>
          <w:szCs w:val="33"/>
        </w:rPr>
        <w:t>务管理与监督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34"/>
          <w:sz w:val="33"/>
          <w:szCs w:val="33"/>
        </w:rPr>
        <w:t>工作，结合资金的使用、管理情况，制定了一系列资金管理规定，为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6"/>
          <w:sz w:val="33"/>
          <w:szCs w:val="33"/>
        </w:rPr>
        <w:t>工程项目资金的财务管理提供了强有力的制度保障。</w:t>
      </w:r>
    </w:p>
    <w:p>
      <w:pPr>
        <w:spacing w:before="178" w:line="310" w:lineRule="auto"/>
        <w:ind w:right="1239" w:firstLine="62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-23"/>
          <w:sz w:val="33"/>
          <w:szCs w:val="33"/>
        </w:rPr>
        <w:t>(二)强化资金管理。一是</w:t>
      </w:r>
      <w:r>
        <w:rPr>
          <w:rFonts w:ascii="仿宋" w:hAnsi="仿宋" w:eastAsia="仿宋" w:cs="仿宋"/>
          <w:spacing w:val="-23"/>
          <w:sz w:val="33"/>
          <w:szCs w:val="33"/>
        </w:rPr>
        <w:t>实行专账管理、专款专用原则</w:t>
      </w:r>
      <w:r>
        <w:rPr>
          <w:rFonts w:ascii="仿宋" w:hAnsi="仿宋" w:eastAsia="仿宋" w:cs="仿宋"/>
          <w:spacing w:val="-24"/>
          <w:sz w:val="33"/>
          <w:szCs w:val="33"/>
        </w:rPr>
        <w:t>，保证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2"/>
          <w:sz w:val="33"/>
          <w:szCs w:val="33"/>
        </w:rPr>
        <w:t>会计信息的真实和完整，确保资金及时、足额用于工程建设</w:t>
      </w:r>
      <w:r>
        <w:rPr>
          <w:rFonts w:ascii="仿宋" w:hAnsi="仿宋" w:eastAsia="仿宋" w:cs="仿宋"/>
          <w:spacing w:val="-23"/>
          <w:sz w:val="33"/>
          <w:szCs w:val="33"/>
        </w:rPr>
        <w:t>项目。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二是严格拨款程序。建立规范的资金支付程序，系统地制定了项</w:t>
      </w:r>
      <w:r>
        <w:rPr>
          <w:rFonts w:ascii="仿宋" w:hAnsi="仿宋" w:eastAsia="仿宋" w:cs="仿宋"/>
          <w:spacing w:val="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3"/>
          <w:sz w:val="33"/>
          <w:szCs w:val="33"/>
        </w:rPr>
        <w:t>目资金审批流程，严格工程进度支付。</w:t>
      </w:r>
      <w:r>
        <w:rPr>
          <w:rFonts w:ascii="仿宋" w:hAnsi="仿宋" w:eastAsia="仿宋" w:cs="仿宋"/>
          <w:b/>
          <w:bCs/>
          <w:spacing w:val="-23"/>
          <w:sz w:val="33"/>
          <w:szCs w:val="33"/>
        </w:rPr>
        <w:t>三是</w:t>
      </w:r>
      <w:r>
        <w:rPr>
          <w:rFonts w:ascii="仿宋" w:hAnsi="仿宋" w:eastAsia="仿宋" w:cs="仿宋"/>
          <w:spacing w:val="-23"/>
          <w:sz w:val="33"/>
          <w:szCs w:val="33"/>
        </w:rPr>
        <w:t>坚持概算控制预算，预</w:t>
      </w:r>
      <w:r>
        <w:rPr>
          <w:rFonts w:ascii="仿宋" w:hAnsi="仿宋" w:eastAsia="仿宋" w:cs="仿宋"/>
          <w:spacing w:val="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3"/>
          <w:sz w:val="33"/>
          <w:szCs w:val="33"/>
        </w:rPr>
        <w:t>算控制决算原则。按照批准的投资计划和工程预算执行，不得突破</w:t>
      </w:r>
      <w:r>
        <w:rPr>
          <w:rFonts w:ascii="仿宋" w:hAnsi="仿宋" w:eastAsia="仿宋" w:cs="仿宋"/>
          <w:spacing w:val="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建设规模和投资额。</w:t>
      </w:r>
      <w:r>
        <w:rPr>
          <w:rFonts w:ascii="仿宋" w:hAnsi="仿宋" w:eastAsia="仿宋" w:cs="仿宋"/>
          <w:b/>
          <w:bCs/>
          <w:spacing w:val="-12"/>
          <w:sz w:val="33"/>
          <w:szCs w:val="33"/>
        </w:rPr>
        <w:t>四是</w:t>
      </w:r>
      <w:r>
        <w:rPr>
          <w:rFonts w:ascii="仿宋" w:hAnsi="仿宋" w:eastAsia="仿宋" w:cs="仿宋"/>
          <w:spacing w:val="-12"/>
          <w:sz w:val="33"/>
          <w:szCs w:val="33"/>
        </w:rPr>
        <w:t>加强资金监督检查。建立专项资金监督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机制，定期通报拨付进度，根据工程进度按时申请专项资</w:t>
      </w:r>
      <w:r>
        <w:rPr>
          <w:rFonts w:ascii="仿宋" w:hAnsi="仿宋" w:eastAsia="仿宋" w:cs="仿宋"/>
          <w:spacing w:val="-12"/>
          <w:sz w:val="33"/>
          <w:szCs w:val="33"/>
        </w:rPr>
        <w:t>金，不</w:t>
      </w:r>
    </w:p>
    <w:p>
      <w:pPr>
        <w:spacing w:line="328" w:lineRule="auto"/>
        <w:rPr>
          <w:rFonts w:ascii="Arial"/>
          <w:sz w:val="21"/>
        </w:rPr>
      </w:pPr>
    </w:p>
    <w:p>
      <w:pPr>
        <w:spacing w:line="329" w:lineRule="auto"/>
        <w:rPr>
          <w:rFonts w:ascii="Arial"/>
          <w:sz w:val="21"/>
        </w:rPr>
      </w:pPr>
    </w:p>
    <w:p>
      <w:pPr>
        <w:spacing w:before="44" w:line="188" w:lineRule="auto"/>
        <w:ind w:left="437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18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60" w:bottom="400" w:left="1470" w:header="0" w:footer="0" w:gutter="0"/>
          <w:cols w:space="720" w:num="1"/>
        </w:sectPr>
      </w:pPr>
    </w:p>
    <w:p>
      <w:pPr>
        <w:spacing w:line="308" w:lineRule="auto"/>
        <w:rPr>
          <w:rFonts w:ascii="Arial"/>
          <w:sz w:val="21"/>
        </w:rPr>
      </w:pPr>
    </w:p>
    <w:p>
      <w:pPr>
        <w:spacing w:before="104" w:line="320" w:lineRule="auto"/>
        <w:ind w:right="1252"/>
        <w:jc w:val="both"/>
        <w:rPr>
          <w:rFonts w:ascii="仿宋" w:hAnsi="仿宋" w:eastAsia="仿宋" w:cs="仿宋"/>
          <w:sz w:val="32"/>
          <w:szCs w:val="32"/>
        </w:rPr>
      </w:pPr>
      <w:bookmarkStart w:id="72" w:name="bookmark46"/>
      <w:bookmarkEnd w:id="72"/>
      <w:r>
        <w:rPr>
          <w:rFonts w:ascii="仿宋" w:hAnsi="仿宋" w:eastAsia="仿宋" w:cs="仿宋"/>
          <w:spacing w:val="-2"/>
          <w:sz w:val="32"/>
          <w:szCs w:val="32"/>
        </w:rPr>
        <w:t>盲目提前申请专项资金，有效避免了资金的长期闲置。五是加强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项目资金结算管理。严格执行政府投资项目审计制度，按审计结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果结算资金，科学合理地控制项目投资。</w:t>
      </w:r>
    </w:p>
    <w:p>
      <w:pPr>
        <w:spacing w:before="78" w:line="222" w:lineRule="auto"/>
        <w:ind w:left="64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六、存在的问题及原因分析</w:t>
      </w:r>
    </w:p>
    <w:p>
      <w:pPr>
        <w:pStyle w:val="2"/>
        <w:spacing w:before="179" w:line="223" w:lineRule="auto"/>
        <w:ind w:left="814"/>
      </w:pPr>
      <w:r>
        <w:rPr>
          <w:b/>
          <w:bCs/>
          <w:spacing w:val="12"/>
        </w:rPr>
        <w:t>(一)绩效管理方面</w:t>
      </w:r>
    </w:p>
    <w:p>
      <w:pPr>
        <w:spacing w:before="208" w:line="326" w:lineRule="auto"/>
        <w:ind w:right="1254" w:firstLine="6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编报项目预算绩效目标不细化。项目主管单位与实</w:t>
      </w:r>
      <w:r>
        <w:rPr>
          <w:rFonts w:ascii="仿宋" w:hAnsi="仿宋" w:eastAsia="仿宋" w:cs="仿宋"/>
          <w:spacing w:val="-2"/>
          <w:sz w:val="32"/>
          <w:szCs w:val="32"/>
        </w:rPr>
        <w:t>施单位的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专项绩效目标，未设置清晰、可衡量、反映产出效益和效果的目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标指标值。</w:t>
      </w:r>
    </w:p>
    <w:p>
      <w:pPr>
        <w:spacing w:before="48" w:line="312" w:lineRule="auto"/>
        <w:ind w:right="1260" w:firstLine="6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主要原因：项目主管单位与实施单位的预算绩</w:t>
      </w:r>
      <w:r>
        <w:rPr>
          <w:rFonts w:ascii="仿宋" w:hAnsi="仿宋" w:eastAsia="仿宋" w:cs="仿宋"/>
          <w:spacing w:val="-2"/>
          <w:sz w:val="32"/>
          <w:szCs w:val="32"/>
        </w:rPr>
        <w:t>效目标管理意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识不强，对预算绩效目标管理工作重视不够。</w:t>
      </w:r>
    </w:p>
    <w:p>
      <w:pPr>
        <w:pStyle w:val="2"/>
        <w:spacing w:before="60" w:line="223" w:lineRule="auto"/>
        <w:ind w:left="814"/>
      </w:pPr>
      <w:r>
        <w:rPr>
          <w:b/>
          <w:bCs/>
          <w:spacing w:val="12"/>
        </w:rPr>
        <w:t>(二)资金管理方面</w:t>
      </w:r>
    </w:p>
    <w:p>
      <w:pPr>
        <w:spacing w:before="199" w:line="320" w:lineRule="auto"/>
        <w:ind w:right="1252" w:firstLine="63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项目利息收入未上缴国库。项目实施单位2021年8月产生专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项资金银行利息收入0.23万元，未按非税收入管理的要求及时上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缴国库。</w:t>
      </w:r>
    </w:p>
    <w:p>
      <w:pPr>
        <w:spacing w:before="71" w:line="323" w:lineRule="auto"/>
        <w:ind w:right="1326" w:firstLine="6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主要原因：对政府非税收入的管理与监督没有足够的认识，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把财政资金产生的利息视为单位自有资金。</w:t>
      </w:r>
    </w:p>
    <w:p>
      <w:pPr>
        <w:pStyle w:val="2"/>
        <w:spacing w:before="29" w:line="223" w:lineRule="auto"/>
        <w:ind w:left="814"/>
      </w:pPr>
      <w:r>
        <w:rPr>
          <w:b/>
          <w:bCs/>
          <w:spacing w:val="10"/>
        </w:rPr>
        <w:t>(三)项目管理方面</w:t>
      </w:r>
    </w:p>
    <w:p>
      <w:pPr>
        <w:spacing w:before="206" w:line="330" w:lineRule="auto"/>
        <w:ind w:right="1163" w:firstLine="644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b/>
          <w:bCs/>
          <w:spacing w:val="-9"/>
          <w:sz w:val="32"/>
          <w:szCs w:val="32"/>
        </w:rPr>
        <w:t>1、</w:t>
      </w: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项目部分手续办理不规范。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一是</w:t>
      </w:r>
      <w:r>
        <w:rPr>
          <w:rFonts w:ascii="仿宋" w:hAnsi="仿宋" w:eastAsia="仿宋" w:cs="仿宋"/>
          <w:spacing w:val="-9"/>
          <w:sz w:val="32"/>
          <w:szCs w:val="32"/>
        </w:rPr>
        <w:t>办理施工许可证不及时。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3"/>
          <w:sz w:val="32"/>
          <w:szCs w:val="32"/>
        </w:rPr>
        <w:t>项目2019年11月20日开工，施工许可证于2020年2月24日取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得，先开工后办理施工许可证；</w:t>
      </w: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二</w:t>
      </w:r>
      <w:r>
        <w:rPr>
          <w:rFonts w:ascii="仿宋" w:hAnsi="仿宋" w:eastAsia="仿宋" w:cs="仿宋"/>
          <w:spacing w:val="35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是</w:t>
      </w:r>
      <w:r>
        <w:rPr>
          <w:rFonts w:ascii="仿宋" w:hAnsi="仿宋" w:eastAsia="仿宋" w:cs="仿宋"/>
          <w:spacing w:val="-9"/>
          <w:sz w:val="32"/>
          <w:szCs w:val="32"/>
        </w:rPr>
        <w:t>工程结算滞后。项目完工后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超过一年未办理工程结算手续，同时影响项目单位办理财务竣工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决算手续，导致新增资产价值难以确认。</w:t>
      </w:r>
      <w:r>
        <w:rPr>
          <w:rFonts w:ascii="仿宋" w:hAnsi="仿宋" w:eastAsia="仿宋" w:cs="仿宋"/>
          <w:b/>
          <w:bCs/>
          <w:spacing w:val="-2"/>
          <w:sz w:val="32"/>
          <w:szCs w:val="32"/>
        </w:rPr>
        <w:t>三是项</w:t>
      </w:r>
      <w:r>
        <w:rPr>
          <w:rFonts w:ascii="仿宋" w:hAnsi="仿宋" w:eastAsia="仿宋" w:cs="仿宋"/>
          <w:spacing w:val="-2"/>
          <w:sz w:val="32"/>
          <w:szCs w:val="32"/>
        </w:rPr>
        <w:t>目资料移交不规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范。项目未及时与代建公司、监理公司、施工单位办理正式移交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before="40" w:line="188" w:lineRule="auto"/>
        <w:ind w:left="438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19</w:t>
      </w:r>
    </w:p>
    <w:p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pgSz w:w="11900" w:h="16820"/>
          <w:pgMar w:top="1429" w:right="260" w:bottom="400" w:left="1450" w:header="0" w:footer="0" w:gutter="0"/>
          <w:cols w:space="720" w:num="1"/>
        </w:sectPr>
      </w:pPr>
    </w:p>
    <w:p>
      <w:pPr>
        <w:spacing w:line="308" w:lineRule="auto"/>
        <w:rPr>
          <w:rFonts w:ascii="Arial"/>
          <w:sz w:val="21"/>
        </w:rPr>
      </w:pPr>
    </w:p>
    <w:p>
      <w:pPr>
        <w:spacing w:before="107" w:line="309" w:lineRule="auto"/>
        <w:ind w:right="1276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sz w:val="33"/>
          <w:szCs w:val="33"/>
        </w:rPr>
        <w:t>资料手续，造成资料不齐，需要了才会向对方要；存档资料</w:t>
      </w:r>
      <w:r>
        <w:rPr>
          <w:rFonts w:ascii="仿宋" w:hAnsi="仿宋" w:eastAsia="仿宋" w:cs="仿宋"/>
          <w:spacing w:val="-13"/>
          <w:sz w:val="33"/>
          <w:szCs w:val="33"/>
        </w:rPr>
        <w:t>分类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5"/>
          <w:sz w:val="33"/>
          <w:szCs w:val="33"/>
        </w:rPr>
        <w:t>不清晰，无编号，查找困难。</w:t>
      </w:r>
    </w:p>
    <w:p>
      <w:pPr>
        <w:spacing w:before="58" w:line="310" w:lineRule="auto"/>
        <w:ind w:right="1187" w:firstLine="71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sz w:val="33"/>
          <w:szCs w:val="33"/>
        </w:rPr>
        <w:t>主要原因：项目实施单位本对项目专门的业务不熟悉，较依</w:t>
      </w:r>
      <w:r>
        <w:rPr>
          <w:rFonts w:ascii="仿宋" w:hAnsi="仿宋" w:eastAsia="仿宋" w:cs="仿宋"/>
          <w:spacing w:val="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赖于代建公司，缺乏对代建公司、监理单位、施工单位的工作实</w:t>
      </w:r>
      <w:r>
        <w:rPr>
          <w:rFonts w:ascii="仿宋" w:hAnsi="仿宋" w:eastAsia="仿宋" w:cs="仿宋"/>
          <w:spacing w:val="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3"/>
          <w:sz w:val="33"/>
          <w:szCs w:val="33"/>
        </w:rPr>
        <w:t>施进度的监管。</w:t>
      </w:r>
    </w:p>
    <w:p>
      <w:pPr>
        <w:spacing w:before="76" w:line="312" w:lineRule="auto"/>
        <w:ind w:right="1265" w:firstLine="674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-1"/>
          <w:sz w:val="33"/>
          <w:szCs w:val="33"/>
        </w:rPr>
        <w:t>2、项目未按期完工。</w:t>
      </w:r>
      <w:r>
        <w:rPr>
          <w:rFonts w:ascii="仿宋" w:hAnsi="仿宋" w:eastAsia="仿宋" w:cs="仿宋"/>
          <w:spacing w:val="-17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本项目2019年11月20日正式开工，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9"/>
          <w:sz w:val="33"/>
          <w:szCs w:val="33"/>
        </w:rPr>
        <w:t>合同工期为300个日历天，本工程应于2020年9月15日竣工，</w:t>
      </w:r>
      <w:r>
        <w:rPr>
          <w:rFonts w:ascii="仿宋" w:hAnsi="仿宋" w:eastAsia="仿宋" w:cs="仿宋"/>
          <w:spacing w:val="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9"/>
          <w:sz w:val="33"/>
          <w:szCs w:val="33"/>
        </w:rPr>
        <w:t>实际于2021年7月30日竣工验收，实际工期618个日历天数，</w:t>
      </w:r>
      <w:r>
        <w:rPr>
          <w:rFonts w:ascii="仿宋" w:hAnsi="仿宋" w:eastAsia="仿宋" w:cs="仿宋"/>
          <w:spacing w:val="4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1"/>
          <w:sz w:val="33"/>
          <w:szCs w:val="33"/>
        </w:rPr>
        <w:t>占计划工期比例206%,超工期318天。</w:t>
      </w:r>
    </w:p>
    <w:p>
      <w:pPr>
        <w:spacing w:before="91" w:line="315" w:lineRule="auto"/>
        <w:ind w:right="1203" w:firstLine="6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主要原因：一是项目设计变更多。设计工作的深度不够，出</w:t>
      </w:r>
      <w:r>
        <w:rPr>
          <w:rFonts w:ascii="仿宋" w:hAnsi="仿宋" w:eastAsia="仿宋" w:cs="仿宋"/>
          <w:spacing w:val="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5"/>
          <w:sz w:val="33"/>
          <w:szCs w:val="33"/>
        </w:rPr>
        <w:t>现设计漏项，如施桩基时深度与资料不符引起桩垮塌，以</w:t>
      </w:r>
      <w:r>
        <w:rPr>
          <w:rFonts w:ascii="仿宋" w:hAnsi="仿宋" w:eastAsia="仿宋" w:cs="仿宋"/>
          <w:spacing w:val="-6"/>
          <w:sz w:val="33"/>
          <w:szCs w:val="33"/>
        </w:rPr>
        <w:t>及</w:t>
      </w:r>
      <w:r>
        <w:rPr>
          <w:rFonts w:ascii="Times New Roman" w:hAnsi="Times New Roman" w:eastAsia="Times New Roman" w:cs="Times New Roman"/>
          <w:spacing w:val="-6"/>
          <w:sz w:val="33"/>
          <w:szCs w:val="33"/>
        </w:rPr>
        <w:t>GH</w:t>
      </w:r>
      <w:r>
        <w:rPr>
          <w:rFonts w:ascii="Times New Roman" w:hAnsi="Times New Roman" w:eastAsia="Times New Roman" w:cs="Times New Roman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段挡土墙塌陷，导致在实施过程中出现增加投资的项目</w:t>
      </w:r>
      <w:r>
        <w:rPr>
          <w:rFonts w:ascii="仿宋" w:hAnsi="仿宋" w:eastAsia="仿宋" w:cs="仿宋"/>
          <w:spacing w:val="-12"/>
          <w:sz w:val="33"/>
          <w:szCs w:val="33"/>
        </w:rPr>
        <w:t>，为了控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制成本，需要调整设计，影响了施工节奏；二是施工队伍素质不</w:t>
      </w:r>
      <w:r>
        <w:rPr>
          <w:rFonts w:ascii="仿宋" w:hAnsi="仿宋" w:eastAsia="仿宋" w:cs="仿宋"/>
          <w:spacing w:val="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高。实际施工时出现未能按照设计的要求施工，引起</w:t>
      </w:r>
      <w:r>
        <w:rPr>
          <w:rFonts w:ascii="仿宋" w:hAnsi="仿宋" w:eastAsia="仿宋" w:cs="仿宋"/>
          <w:spacing w:val="-12"/>
          <w:sz w:val="33"/>
          <w:szCs w:val="33"/>
        </w:rPr>
        <w:t>质量和安全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0"/>
          <w:sz w:val="33"/>
          <w:szCs w:val="33"/>
        </w:rPr>
        <w:t>问题，需要作业返工；三是因疫情原因停工拖延工期近四个月，</w:t>
      </w:r>
      <w:r>
        <w:rPr>
          <w:rFonts w:ascii="仿宋" w:hAnsi="仿宋" w:eastAsia="仿宋" w:cs="仿宋"/>
          <w:spacing w:val="1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0"/>
          <w:sz w:val="33"/>
          <w:szCs w:val="33"/>
        </w:rPr>
        <w:t>恢复施工后又因疫情原因原材料供应不及时；四是202</w:t>
      </w:r>
      <w:r>
        <w:rPr>
          <w:rFonts w:ascii="仿宋" w:hAnsi="仿宋" w:eastAsia="仿宋" w:cs="仿宋"/>
          <w:spacing w:val="-11"/>
          <w:sz w:val="33"/>
          <w:szCs w:val="33"/>
        </w:rPr>
        <w:t>1年年初雨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5"/>
          <w:sz w:val="33"/>
          <w:szCs w:val="33"/>
        </w:rPr>
        <w:t>季时间较长无法施工；五是高压相变需要二次深化设计。</w:t>
      </w:r>
    </w:p>
    <w:p>
      <w:pPr>
        <w:spacing w:before="120" w:line="324" w:lineRule="auto"/>
        <w:ind w:right="1134" w:firstLine="624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4"/>
          <w:sz w:val="33"/>
          <w:szCs w:val="33"/>
        </w:rPr>
        <w:t>3、</w:t>
      </w:r>
      <w:r>
        <w:rPr>
          <w:rFonts w:ascii="仿宋" w:hAnsi="仿宋" w:eastAsia="仿宋" w:cs="仿宋"/>
          <w:b/>
          <w:bCs/>
          <w:spacing w:val="-14"/>
          <w:sz w:val="33"/>
          <w:szCs w:val="33"/>
        </w:rPr>
        <w:t>安全文明施工不到位。</w:t>
      </w:r>
      <w:r>
        <w:rPr>
          <w:rFonts w:ascii="仿宋" w:hAnsi="仿宋" w:eastAsia="仿宋" w:cs="仿宋"/>
          <w:spacing w:val="-14"/>
          <w:sz w:val="33"/>
          <w:szCs w:val="33"/>
        </w:rPr>
        <w:t>在施工过程中不能遵守施工规范，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出现施工材料违规摆放，不戴安全帽等情况。如监理日记中</w:t>
      </w:r>
      <w:r>
        <w:rPr>
          <w:rFonts w:ascii="仿宋" w:hAnsi="仿宋" w:eastAsia="仿宋" w:cs="仿宋"/>
          <w:spacing w:val="-12"/>
          <w:sz w:val="33"/>
          <w:szCs w:val="33"/>
        </w:rPr>
        <w:t>多次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记录施工现场很多人未佩戴安全帽，由于该问题未得到改善，监</w:t>
      </w:r>
      <w:r>
        <w:rPr>
          <w:rFonts w:ascii="仿宋" w:hAnsi="仿宋" w:eastAsia="仿宋" w:cs="仿宋"/>
          <w:spacing w:val="1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"/>
          <w:sz w:val="33"/>
          <w:szCs w:val="33"/>
        </w:rPr>
        <w:t>理单位在2020年7月22日对施工单位下达了处罚1000元的通知，</w:t>
      </w:r>
      <w:r>
        <w:rPr>
          <w:rFonts w:ascii="仿宋" w:hAnsi="仿宋" w:eastAsia="仿宋" w:cs="仿宋"/>
          <w:spacing w:val="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5"/>
          <w:sz w:val="33"/>
          <w:szCs w:val="33"/>
        </w:rPr>
        <w:t>第二天仍旧发现施工现场很多人未戴安全帽；2020年3月20日</w:t>
      </w:r>
      <w:r>
        <w:rPr>
          <w:rFonts w:ascii="仿宋" w:hAnsi="仿宋" w:eastAsia="仿宋" w:cs="仿宋"/>
          <w:spacing w:val="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2"/>
          <w:sz w:val="33"/>
          <w:szCs w:val="33"/>
        </w:rPr>
        <w:t>和5月9日的监理日记中均记录施工现场乱堆放的问题。</w:t>
      </w:r>
    </w:p>
    <w:p>
      <w:pPr>
        <w:spacing w:line="477" w:lineRule="auto"/>
        <w:rPr>
          <w:rFonts w:ascii="Arial"/>
          <w:sz w:val="21"/>
        </w:rPr>
      </w:pPr>
    </w:p>
    <w:p>
      <w:pPr>
        <w:spacing w:before="44" w:line="188" w:lineRule="auto"/>
        <w:ind w:left="4350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1"/>
          <w:sz w:val="15"/>
          <w:szCs w:val="15"/>
        </w:rPr>
        <w:t>20</w:t>
      </w:r>
    </w:p>
    <w:p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pgSz w:w="11900" w:h="16820"/>
          <w:pgMar w:top="1429" w:right="260" w:bottom="400" w:left="1460" w:header="0" w:footer="0" w:gutter="0"/>
          <w:cols w:space="720" w:num="1"/>
        </w:sectPr>
      </w:pPr>
    </w:p>
    <w:p>
      <w:pPr>
        <w:spacing w:line="325" w:lineRule="auto"/>
        <w:rPr>
          <w:rFonts w:ascii="Arial"/>
          <w:sz w:val="21"/>
        </w:rPr>
      </w:pPr>
    </w:p>
    <w:p>
      <w:pPr>
        <w:spacing w:before="107" w:line="317" w:lineRule="auto"/>
        <w:ind w:right="1207" w:firstLine="70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sz w:val="33"/>
          <w:szCs w:val="33"/>
        </w:rPr>
        <w:t>主要原因：基层施工人员普遍存在综合素质</w:t>
      </w:r>
      <w:r>
        <w:rPr>
          <w:rFonts w:ascii="仿宋" w:hAnsi="仿宋" w:eastAsia="仿宋" w:cs="仿宋"/>
          <w:spacing w:val="-13"/>
          <w:sz w:val="33"/>
          <w:szCs w:val="33"/>
        </w:rPr>
        <w:t>不高，使得建设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工程安全文明施工培训与教育工作的实际效果难以得到提</w:t>
      </w:r>
      <w:r>
        <w:rPr>
          <w:rFonts w:ascii="仿宋" w:hAnsi="仿宋" w:eastAsia="仿宋" w:cs="仿宋"/>
          <w:spacing w:val="-13"/>
          <w:sz w:val="33"/>
          <w:szCs w:val="33"/>
        </w:rPr>
        <w:t>升，久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4"/>
          <w:sz w:val="33"/>
          <w:szCs w:val="33"/>
        </w:rPr>
        <w:t>而久之，建筑工程现场施工人员安全文明意识薄弱。</w:t>
      </w:r>
    </w:p>
    <w:p>
      <w:pPr>
        <w:pStyle w:val="2"/>
        <w:spacing w:before="26" w:line="223" w:lineRule="auto"/>
        <w:ind w:left="854"/>
        <w:rPr>
          <w:sz w:val="33"/>
          <w:szCs w:val="33"/>
        </w:rPr>
      </w:pPr>
      <w:r>
        <w:rPr>
          <w:b/>
          <w:bCs/>
          <w:spacing w:val="2"/>
          <w:sz w:val="33"/>
          <w:szCs w:val="33"/>
        </w:rPr>
        <w:t>(四)产出效益方面</w:t>
      </w:r>
    </w:p>
    <w:p>
      <w:pPr>
        <w:spacing w:before="188" w:line="315" w:lineRule="auto"/>
        <w:ind w:right="1202" w:firstLine="66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4"/>
          <w:sz w:val="33"/>
          <w:szCs w:val="33"/>
        </w:rPr>
        <w:t>项目建设未实现产出效益。2021年7月项目竣工验收，并于</w:t>
      </w:r>
      <w:r>
        <w:rPr>
          <w:rFonts w:ascii="仿宋" w:hAnsi="仿宋" w:eastAsia="仿宋" w:cs="仿宋"/>
          <w:spacing w:val="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4"/>
          <w:sz w:val="33"/>
          <w:szCs w:val="33"/>
        </w:rPr>
        <w:t>2021年9月办理了实体移交手续，但未能投入使用，</w:t>
      </w:r>
      <w:r>
        <w:rPr>
          <w:rFonts w:ascii="仿宋" w:hAnsi="仿宋" w:eastAsia="仿宋" w:cs="仿宋"/>
          <w:spacing w:val="-5"/>
          <w:sz w:val="33"/>
          <w:szCs w:val="33"/>
        </w:rPr>
        <w:t>形成现有巨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3"/>
          <w:sz w:val="33"/>
          <w:szCs w:val="33"/>
        </w:rPr>
        <w:t>额资产闲置的局面，未发挥出应有的社会效益。</w:t>
      </w:r>
    </w:p>
    <w:p>
      <w:pPr>
        <w:spacing w:before="54" w:line="314" w:lineRule="auto"/>
        <w:ind w:right="1199" w:firstLine="66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主要原因：项目建设完工后，还需实施配套设施的建设和二</w:t>
      </w:r>
      <w:r>
        <w:rPr>
          <w:rFonts w:ascii="仿宋" w:hAnsi="仿宋" w:eastAsia="仿宋" w:cs="仿宋"/>
          <w:spacing w:val="1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次装修后，才能投入使用，但由于后续建设资金尚未得到全额批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4"/>
          <w:sz w:val="33"/>
          <w:szCs w:val="33"/>
        </w:rPr>
        <w:t>复，所以，影响后续建设进度，导致现有资产闲置。</w:t>
      </w:r>
    </w:p>
    <w:p>
      <w:pPr>
        <w:spacing w:before="41" w:line="222" w:lineRule="auto"/>
        <w:ind w:left="634"/>
        <w:outlineLvl w:val="0"/>
        <w:rPr>
          <w:rFonts w:ascii="黑体" w:hAnsi="黑体" w:eastAsia="黑体" w:cs="黑体"/>
          <w:sz w:val="33"/>
          <w:szCs w:val="33"/>
        </w:rPr>
      </w:pPr>
      <w:bookmarkStart w:id="73" w:name="bookmark31"/>
      <w:bookmarkEnd w:id="73"/>
      <w:r>
        <w:rPr>
          <w:rFonts w:ascii="黑体" w:hAnsi="黑体" w:eastAsia="黑体" w:cs="黑体"/>
          <w:b/>
          <w:bCs/>
          <w:spacing w:val="-10"/>
          <w:sz w:val="33"/>
          <w:szCs w:val="33"/>
        </w:rPr>
        <w:t>七、有关建议</w:t>
      </w:r>
    </w:p>
    <w:p>
      <w:pPr>
        <w:pStyle w:val="2"/>
        <w:spacing w:before="187" w:line="301" w:lineRule="auto"/>
        <w:ind w:right="1095" w:firstLine="800"/>
        <w:rPr>
          <w:rFonts w:ascii="仿宋" w:hAnsi="仿宋" w:eastAsia="仿宋" w:cs="仿宋"/>
          <w:sz w:val="33"/>
          <w:szCs w:val="33"/>
        </w:rPr>
      </w:pPr>
      <w:r>
        <w:rPr>
          <w:spacing w:val="-5"/>
          <w:sz w:val="33"/>
          <w:szCs w:val="33"/>
        </w:rPr>
        <w:t>(一)增强绩效目标意识，强化绩效指标考核体系。</w:t>
      </w:r>
      <w:r>
        <w:rPr>
          <w:rFonts w:ascii="仿宋" w:hAnsi="仿宋" w:eastAsia="仿宋" w:cs="仿宋"/>
          <w:spacing w:val="-5"/>
          <w:sz w:val="33"/>
          <w:szCs w:val="33"/>
        </w:rPr>
        <w:t>按照绩</w:t>
      </w:r>
      <w:r>
        <w:rPr>
          <w:rFonts w:ascii="仿宋" w:hAnsi="仿宋" w:eastAsia="仿宋" w:cs="仿宋"/>
          <w:spacing w:val="8"/>
          <w:sz w:val="33"/>
          <w:szCs w:val="33"/>
        </w:rPr>
        <w:t xml:space="preserve">  </w:t>
      </w:r>
      <w:r>
        <w:rPr>
          <w:rFonts w:ascii="仿宋" w:hAnsi="仿宋" w:eastAsia="仿宋" w:cs="仿宋"/>
          <w:spacing w:val="-17"/>
          <w:sz w:val="33"/>
          <w:szCs w:val="33"/>
        </w:rPr>
        <w:t>效目标编制要求，遵循确定绩效指标时应考虑的相关性、重要性、</w:t>
      </w:r>
      <w:r>
        <w:rPr>
          <w:rFonts w:ascii="仿宋" w:hAnsi="仿宋" w:eastAsia="仿宋" w:cs="仿宋"/>
          <w:spacing w:val="6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可比性、系统性、经济性五大原则，将绩效目标细化分</w:t>
      </w:r>
      <w:r>
        <w:rPr>
          <w:rFonts w:ascii="仿宋" w:hAnsi="仿宋" w:eastAsia="仿宋" w:cs="仿宋"/>
          <w:spacing w:val="-13"/>
          <w:sz w:val="33"/>
          <w:szCs w:val="33"/>
        </w:rPr>
        <w:t>解成具体</w:t>
      </w:r>
      <w:r>
        <w:rPr>
          <w:rFonts w:ascii="仿宋" w:hAnsi="仿宋" w:eastAsia="仿宋" w:cs="仿宋"/>
          <w:sz w:val="33"/>
          <w:szCs w:val="33"/>
        </w:rPr>
        <w:t xml:space="preserve">  </w:t>
      </w:r>
      <w:r>
        <w:rPr>
          <w:rFonts w:ascii="仿宋" w:hAnsi="仿宋" w:eastAsia="仿宋" w:cs="仿宋"/>
          <w:spacing w:val="-10"/>
          <w:sz w:val="33"/>
          <w:szCs w:val="33"/>
        </w:rPr>
        <w:t>任务，设定清晰、可衡量的绩效指标，作为预算执行和绩效评价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6"/>
          <w:sz w:val="33"/>
          <w:szCs w:val="33"/>
        </w:rPr>
        <w:t>的依据。</w:t>
      </w:r>
    </w:p>
    <w:p>
      <w:pPr>
        <w:pStyle w:val="2"/>
        <w:spacing w:before="190" w:line="295" w:lineRule="auto"/>
        <w:ind w:right="1207" w:firstLine="800"/>
        <w:rPr>
          <w:rFonts w:ascii="仿宋" w:hAnsi="仿宋" w:eastAsia="仿宋" w:cs="仿宋"/>
          <w:sz w:val="33"/>
          <w:szCs w:val="33"/>
        </w:rPr>
      </w:pPr>
      <w:r>
        <w:rPr>
          <w:spacing w:val="-4"/>
          <w:sz w:val="33"/>
          <w:szCs w:val="33"/>
        </w:rPr>
        <w:t>(二)加强学习培训，规范财务管理</w:t>
      </w:r>
      <w:r>
        <w:rPr>
          <w:rFonts w:ascii="仿宋" w:hAnsi="仿宋" w:eastAsia="仿宋" w:cs="仿宋"/>
          <w:spacing w:val="-4"/>
          <w:sz w:val="33"/>
          <w:szCs w:val="33"/>
        </w:rPr>
        <w:t>。加强财经法规及</w:t>
      </w:r>
      <w:r>
        <w:rPr>
          <w:rFonts w:ascii="仿宋" w:hAnsi="仿宋" w:eastAsia="仿宋" w:cs="仿宋"/>
          <w:spacing w:val="-5"/>
          <w:sz w:val="33"/>
          <w:szCs w:val="33"/>
        </w:rPr>
        <w:t>相关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0"/>
          <w:sz w:val="33"/>
          <w:szCs w:val="33"/>
        </w:rPr>
        <w:t>财务制度的学习，涉及财政项目资金产生的利息将按相关要求进</w:t>
      </w:r>
      <w:r>
        <w:rPr>
          <w:rFonts w:ascii="仿宋" w:hAnsi="仿宋" w:eastAsia="仿宋" w:cs="仿宋"/>
          <w:spacing w:val="11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5"/>
          <w:sz w:val="33"/>
          <w:szCs w:val="33"/>
        </w:rPr>
        <w:t>行缴纳国库。</w:t>
      </w:r>
    </w:p>
    <w:p>
      <w:pPr>
        <w:pStyle w:val="2"/>
        <w:spacing w:before="184" w:line="298" w:lineRule="auto"/>
        <w:ind w:right="1236" w:firstLine="800"/>
        <w:rPr>
          <w:rFonts w:ascii="仿宋" w:hAnsi="仿宋" w:eastAsia="仿宋" w:cs="仿宋"/>
          <w:sz w:val="33"/>
          <w:szCs w:val="33"/>
        </w:rPr>
      </w:pPr>
      <w:r>
        <w:rPr>
          <w:spacing w:val="-5"/>
          <w:sz w:val="33"/>
          <w:szCs w:val="33"/>
        </w:rPr>
        <w:t>(三)规范项目管理。</w:t>
      </w:r>
      <w:r>
        <w:rPr>
          <w:rFonts w:ascii="仿宋" w:hAnsi="仿宋" w:eastAsia="仿宋" w:cs="仿宋"/>
          <w:spacing w:val="-5"/>
          <w:sz w:val="33"/>
          <w:szCs w:val="33"/>
        </w:rPr>
        <w:t>一是强化各参建单位的管理</w:t>
      </w:r>
      <w:r>
        <w:rPr>
          <w:rFonts w:ascii="仿宋" w:hAnsi="仿宋" w:eastAsia="仿宋" w:cs="仿宋"/>
          <w:spacing w:val="-6"/>
          <w:sz w:val="33"/>
          <w:szCs w:val="33"/>
        </w:rPr>
        <w:t>。首先需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要提升对于勘测单位的管控能力，提升勘察质量，充分了解工程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1"/>
          <w:sz w:val="33"/>
          <w:szCs w:val="33"/>
        </w:rPr>
        <w:t>地质状况，为相关工程的开展提供基础。其次，强化相关设计单</w:t>
      </w:r>
      <w:r>
        <w:rPr>
          <w:rFonts w:ascii="仿宋" w:hAnsi="仿宋" w:eastAsia="仿宋" w:cs="仿宋"/>
          <w:spacing w:val="9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12"/>
          <w:sz w:val="33"/>
          <w:szCs w:val="33"/>
        </w:rPr>
        <w:t>位的管控能力，在实际施工设计之前，需要综合考虑工程勘探的</w:t>
      </w:r>
    </w:p>
    <w:p>
      <w:pPr>
        <w:spacing w:line="335" w:lineRule="auto"/>
        <w:rPr>
          <w:rFonts w:ascii="Arial"/>
          <w:sz w:val="21"/>
        </w:rPr>
      </w:pPr>
    </w:p>
    <w:p>
      <w:pPr>
        <w:spacing w:line="336" w:lineRule="auto"/>
        <w:rPr>
          <w:rFonts w:ascii="Arial"/>
          <w:sz w:val="21"/>
        </w:rPr>
      </w:pPr>
    </w:p>
    <w:p>
      <w:pPr>
        <w:spacing w:before="42" w:line="188" w:lineRule="auto"/>
        <w:ind w:left="436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1"/>
          <w:sz w:val="14"/>
          <w:szCs w:val="14"/>
        </w:rPr>
        <w:t>21</w:t>
      </w:r>
    </w:p>
    <w:p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pgSz w:w="11900" w:h="16820"/>
          <w:pgMar w:top="1429" w:right="260" w:bottom="400" w:left="1460" w:header="0" w:footer="0" w:gutter="0"/>
          <w:cols w:space="720" w:num="1"/>
        </w:sectPr>
      </w:pPr>
    </w:p>
    <w:p>
      <w:pPr>
        <w:spacing w:line="378" w:lineRule="auto"/>
        <w:rPr>
          <w:rFonts w:ascii="Arial"/>
          <w:sz w:val="21"/>
        </w:rPr>
      </w:pPr>
    </w:p>
    <w:p>
      <w:pPr>
        <w:spacing w:before="101" w:line="336" w:lineRule="auto"/>
        <w:ind w:right="11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结果，并将其与设计图纸相结合，提高施工图纸与勘探结果的相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符性，避免不必要资源、资金及时间成本的</w:t>
      </w:r>
      <w:r>
        <w:rPr>
          <w:rFonts w:ascii="仿宋" w:hAnsi="仿宋" w:eastAsia="仿宋" w:cs="仿宋"/>
          <w:spacing w:val="8"/>
          <w:sz w:val="31"/>
          <w:szCs w:val="31"/>
        </w:rPr>
        <w:t>投入。再次，强化施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工单位日常工作管理重视考核员工施工行为工作，增强施工人员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的纪律意识，避免施工现场出现一些不必要的安全隐患</w:t>
      </w:r>
      <w:r>
        <w:rPr>
          <w:rFonts w:ascii="仿宋" w:hAnsi="仿宋" w:eastAsia="仿宋" w:cs="仿宋"/>
          <w:spacing w:val="8"/>
          <w:sz w:val="31"/>
          <w:szCs w:val="31"/>
        </w:rPr>
        <w:t>产生。二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是加强项目建后管理。建设主管部门应加大对代建项目的监管，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要督促代建公司尽快完成工程结算，办理相关的财务决算审核、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审批等手续；要项目单位及时向项目主管部门上报财务</w:t>
      </w:r>
      <w:r>
        <w:rPr>
          <w:rFonts w:ascii="仿宋" w:hAnsi="仿宋" w:eastAsia="仿宋" w:cs="仿宋"/>
          <w:sz w:val="31"/>
          <w:szCs w:val="31"/>
        </w:rPr>
        <w:t xml:space="preserve">竣工决算，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确定固定资产价值。未经竣工验收的项目，不得计入固定资产； </w:t>
      </w:r>
      <w:r>
        <w:rPr>
          <w:rFonts w:ascii="仿宋" w:hAnsi="仿宋" w:eastAsia="仿宋" w:cs="仿宋"/>
          <w:spacing w:val="9"/>
          <w:sz w:val="31"/>
          <w:szCs w:val="31"/>
        </w:rPr>
        <w:t>要联系各代建单位和监理单位，办理书面正式移交资料手续，归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档全部项目资料，分类编号管理，便于查找。</w:t>
      </w:r>
    </w:p>
    <w:p>
      <w:pPr>
        <w:pStyle w:val="2"/>
        <w:spacing w:before="154" w:line="337" w:lineRule="auto"/>
        <w:ind w:right="1193" w:firstLine="834"/>
        <w:jc w:val="both"/>
        <w:rPr>
          <w:rFonts w:ascii="仿宋" w:hAnsi="仿宋" w:eastAsia="仿宋" w:cs="仿宋"/>
          <w:sz w:val="31"/>
          <w:szCs w:val="31"/>
        </w:rPr>
      </w:pPr>
      <w:r>
        <w:rPr>
          <w:b/>
          <w:bCs/>
          <w:spacing w:val="7"/>
          <w:sz w:val="31"/>
          <w:szCs w:val="31"/>
        </w:rPr>
        <w:t>(四)加强配套设施建设，尽快收治戒毒人员。</w:t>
      </w:r>
      <w:r>
        <w:rPr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积极推进后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续配套设施建设，进一步完善配套设施，达到全国统一的司法行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政戒毒所工作模式下强制隔离戒毒所的收治要求，尽快实现满员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收治、全员收戒，缓解戒毒人员无处收押的问题，发挥资金使用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效益。</w:t>
      </w:r>
    </w:p>
    <w:p>
      <w:pPr>
        <w:spacing w:before="53" w:line="222" w:lineRule="auto"/>
        <w:ind w:left="659"/>
        <w:sectPr>
          <w:pgSz w:w="11900" w:h="16820"/>
          <w:pgMar w:top="1429" w:right="260" w:bottom="220" w:left="1480" w:header="0" w:footer="0" w:gutter="0"/>
          <w:cols w:equalWidth="0" w:num="1">
            <w:col w:w="10160"/>
          </w:cols>
        </w:sect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1130" w:lineRule="exact"/>
        <w:ind w:firstLine="2819"/>
      </w:pPr>
    </w:p>
    <w:sectPr>
      <w:type w:val="continuous"/>
      <w:pgSz w:w="11900" w:h="16820"/>
      <w:pgMar w:top="1429" w:right="260" w:bottom="220" w:left="1480" w:header="0" w:footer="0" w:gutter="0"/>
      <w:cols w:equalWidth="0" w:num="2">
        <w:col w:w="6081" w:space="100"/>
        <w:col w:w="398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QyYWE1NDE0MzNmNTJhZmE4MmMwODY5MDg4NjNmZGEifQ=="/>
    <w:docVar w:name="KSO_WPS_MARK_KEY" w:val="0b918b8f-c5cc-46af-b232-650220d96356"/>
  </w:docVars>
  <w:rsids>
    <w:rsidRoot w:val="00000000"/>
    <w:rsid w:val="3D823D7F"/>
    <w:rsid w:val="4D986C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楷体" w:hAnsi="楷体" w:eastAsia="楷体" w:cs="楷体"/>
      <w:sz w:val="32"/>
      <w:szCs w:val="32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24</Pages>
  <Words>11075</Words>
  <Characters>12308</Characters>
  <TotalTime>2</TotalTime>
  <ScaleCrop>false</ScaleCrop>
  <LinksUpToDate>false</LinksUpToDate>
  <CharactersWithSpaces>12819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2024-09-04T08:38:00Z</dcterms:created>
  <dc:creator>Kingsoft-PDF</dc:creator>
  <cp:lastModifiedBy>旧时光·不见旧人</cp:lastModifiedBy>
  <dcterms:modified xsi:type="dcterms:W3CDTF">2024-09-30T09:13:03Z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2024-09-04T08:38:52Z</vt:filetime>
  </property>
  <property fmtid="{D5CDD505-2E9C-101B-9397-08002B2CF9AE}" pid="4" name="UsrData">
    <vt:lpwstr>66d7ac15b9fcc4001f4fc405wl</vt:lpwstr>
  </property>
  <property fmtid="{D5CDD505-2E9C-101B-9397-08002B2CF9AE}" pid="5" name="KSOProductBuildVer">
    <vt:lpwstr>2052-12.1.0.16120</vt:lpwstr>
  </property>
  <property fmtid="{D5CDD505-2E9C-101B-9397-08002B2CF9AE}" pid="6" name="ICV">
    <vt:lpwstr>994B08924FBB4D9BAE5FF646B4D8FCAC</vt:lpwstr>
  </property>
</Properties>
</file>