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9393E">
      <w:pPr>
        <w:snapToGrid w:val="0"/>
        <w:spacing w:line="560" w:lineRule="exact"/>
        <w:jc w:val="center"/>
        <w:outlineLvl w:val="0"/>
        <w:rPr>
          <w:rFonts w:hint="eastAsia" w:ascii="方正小标宋简体" w:eastAsia="方正小标宋简体"/>
          <w:sz w:val="44"/>
          <w:szCs w:val="44"/>
        </w:rPr>
      </w:pPr>
      <w:bookmarkStart w:id="0" w:name="_Toc10925"/>
      <w:bookmarkStart w:id="1" w:name="_Toc26744"/>
      <w:r>
        <w:rPr>
          <w:rFonts w:hint="eastAsia" w:ascii="方正小标宋简体" w:eastAsia="方正小标宋简体"/>
          <w:sz w:val="40"/>
          <w:szCs w:val="40"/>
        </w:rPr>
        <w:t>邵阳市2021年度社会治理创新开放共享总平台</w:t>
      </w:r>
      <w:r>
        <w:rPr>
          <w:rFonts w:hint="eastAsia" w:ascii="方正小标宋简体" w:eastAsia="方正小标宋简体"/>
          <w:sz w:val="40"/>
          <w:szCs w:val="40"/>
          <w:lang w:val="en-US" w:eastAsia="zh-CN"/>
        </w:rPr>
        <w:t xml:space="preserve">  </w:t>
      </w:r>
      <w:r>
        <w:rPr>
          <w:rFonts w:hint="eastAsia" w:ascii="方正小标宋简体" w:eastAsia="方正小标宋简体"/>
          <w:sz w:val="40"/>
          <w:szCs w:val="40"/>
        </w:rPr>
        <w:t>专项资金绩效评价报告</w:t>
      </w:r>
      <w:bookmarkEnd w:id="0"/>
      <w:bookmarkEnd w:id="1"/>
    </w:p>
    <w:p w14:paraId="5682329F">
      <w:pPr>
        <w:pStyle w:val="7"/>
        <w:rPr>
          <w:rFonts w:hint="eastAsia"/>
          <w:lang w:eastAsia="zh-CN"/>
        </w:rPr>
      </w:pPr>
    </w:p>
    <w:p w14:paraId="3254D269">
      <w:pPr>
        <w:spacing w:line="560" w:lineRule="exact"/>
        <w:ind w:firstLine="640" w:firstLineChars="200"/>
      </w:pPr>
      <w:r>
        <w:rPr>
          <w:rFonts w:hint="eastAsia"/>
          <w:sz w:val="32"/>
          <w:szCs w:val="32"/>
        </w:rPr>
        <w:t>为了强化财政支出预算绩效管理，促进财政资金使用的科学化、规划化和精细化，根据《中共湖南省委办公厅 湖南省人民政府办公厅关于全面实施预算绩效管理的实施意见》（湘办发〔2019〕10号）和《湖南省预算支出绩效评价管理办法的通知》（湘财绩〔</w:t>
      </w:r>
      <w:r>
        <w:rPr>
          <w:sz w:val="32"/>
          <w:szCs w:val="32"/>
        </w:rPr>
        <w:t>2020</w:t>
      </w:r>
      <w:r>
        <w:rPr>
          <w:rFonts w:hint="eastAsia"/>
          <w:sz w:val="32"/>
          <w:szCs w:val="32"/>
        </w:rPr>
        <w:t>〕</w:t>
      </w:r>
      <w:r>
        <w:rPr>
          <w:sz w:val="32"/>
          <w:szCs w:val="32"/>
        </w:rPr>
        <w:t>7</w:t>
      </w:r>
      <w:r>
        <w:rPr>
          <w:rFonts w:hint="eastAsia"/>
          <w:sz w:val="32"/>
          <w:szCs w:val="32"/>
        </w:rPr>
        <w:t>号）等有关规定，按照邵阳市财政局《关于开展2021年度邵阳市社会治理创新开放共享总平台专项资金绩效评价工作的通知》等要求，湖南惟楚创智经济咨询有限责任公司（以下简称</w:t>
      </w:r>
      <w:r>
        <w:rPr>
          <w:rFonts w:hint="eastAsia" w:ascii="仿宋_GB2312"/>
          <w:sz w:val="32"/>
          <w:szCs w:val="32"/>
        </w:rPr>
        <w:t>惟楚创智公司</w:t>
      </w:r>
      <w:r>
        <w:rPr>
          <w:rFonts w:hint="eastAsia"/>
          <w:sz w:val="32"/>
          <w:szCs w:val="32"/>
        </w:rPr>
        <w:t>）接受邵阳市财政局（以下简称市财政局）委托，对邵阳市2021年度社会治理创新开放共享总平台专项资金（以下简称本专项资金）进行了预算绩效评价，现将评价情况报告如下：</w:t>
      </w:r>
    </w:p>
    <w:p w14:paraId="249C3C66">
      <w:pPr>
        <w:spacing w:line="600" w:lineRule="exact"/>
        <w:ind w:firstLine="640" w:firstLineChars="200"/>
        <w:outlineLvl w:val="0"/>
        <w:rPr>
          <w:rFonts w:eastAsia="黑体"/>
          <w:sz w:val="32"/>
          <w:szCs w:val="32"/>
        </w:rPr>
      </w:pPr>
      <w:bookmarkStart w:id="2" w:name="_Toc8314"/>
      <w:r>
        <w:rPr>
          <w:rFonts w:eastAsia="黑体"/>
          <w:sz w:val="32"/>
          <w:szCs w:val="32"/>
        </w:rPr>
        <w:t>一、</w:t>
      </w:r>
      <w:r>
        <w:rPr>
          <w:rFonts w:hint="eastAsia" w:eastAsia="黑体"/>
          <w:sz w:val="32"/>
          <w:szCs w:val="32"/>
        </w:rPr>
        <w:t>项目</w:t>
      </w:r>
      <w:r>
        <w:rPr>
          <w:rFonts w:eastAsia="黑体"/>
          <w:sz w:val="32"/>
          <w:szCs w:val="32"/>
        </w:rPr>
        <w:t>支出基本情况</w:t>
      </w:r>
      <w:bookmarkEnd w:id="2"/>
    </w:p>
    <w:p w14:paraId="6220F92D">
      <w:pPr>
        <w:spacing w:line="600" w:lineRule="exact"/>
        <w:ind w:firstLine="643" w:firstLineChars="200"/>
        <w:outlineLvl w:val="1"/>
        <w:rPr>
          <w:rFonts w:eastAsia="楷体_GB2312"/>
          <w:b/>
          <w:sz w:val="32"/>
          <w:szCs w:val="32"/>
        </w:rPr>
      </w:pPr>
      <w:r>
        <w:rPr>
          <w:rFonts w:eastAsia="楷体_GB2312"/>
          <w:b/>
          <w:sz w:val="32"/>
          <w:szCs w:val="32"/>
        </w:rPr>
        <w:t>（一）</w:t>
      </w:r>
      <w:r>
        <w:rPr>
          <w:rFonts w:hint="eastAsia" w:eastAsia="楷体_GB2312"/>
          <w:b/>
          <w:sz w:val="32"/>
          <w:szCs w:val="32"/>
        </w:rPr>
        <w:t>项目背景及内容</w:t>
      </w:r>
    </w:p>
    <w:p w14:paraId="41835D46">
      <w:pPr>
        <w:spacing w:line="600" w:lineRule="exact"/>
        <w:ind w:firstLine="643" w:firstLineChars="200"/>
        <w:rPr>
          <w:b/>
          <w:bCs/>
          <w:sz w:val="32"/>
          <w:szCs w:val="32"/>
        </w:rPr>
      </w:pPr>
      <w:r>
        <w:rPr>
          <w:rFonts w:hint="eastAsia"/>
          <w:b/>
          <w:bCs/>
          <w:sz w:val="32"/>
          <w:szCs w:val="32"/>
        </w:rPr>
        <w:t>1.项目概况</w:t>
      </w:r>
    </w:p>
    <w:p w14:paraId="54B34013">
      <w:pPr>
        <w:spacing w:line="600" w:lineRule="exact"/>
        <w:ind w:firstLine="640" w:firstLineChars="200"/>
        <w:rPr>
          <w:sz w:val="32"/>
          <w:szCs w:val="32"/>
        </w:rPr>
      </w:pPr>
      <w:r>
        <w:rPr>
          <w:rFonts w:hint="eastAsia"/>
          <w:sz w:val="32"/>
          <w:szCs w:val="32"/>
        </w:rPr>
        <w:t>为提高社会治理水平、完善基础设施、建设和谐社会，综合利用移动互联网、云计算、大数据等技术，进一步提升社会治理</w:t>
      </w:r>
      <w:r>
        <w:rPr>
          <w:rFonts w:hint="eastAsia"/>
          <w:sz w:val="32"/>
          <w:szCs w:val="32"/>
          <w:lang w:val="en-US" w:eastAsia="zh-CN"/>
        </w:rPr>
        <w:t>规范</w:t>
      </w:r>
      <w:r>
        <w:rPr>
          <w:rFonts w:hint="eastAsia"/>
          <w:sz w:val="32"/>
          <w:szCs w:val="32"/>
        </w:rPr>
        <w:t>化、法治化、智能化、专业化水平，不断增强人民群众获得感、幸福感、安全感，经中央政法委和省委政法委批准，明确建立、完善城乡末端感知系统是邵阳市社会治理创新中的重要任务，其核心内容是建设社会治理创新开放共享平台。为此，中共邵阳市委常委会会议纪要[2020]第26次会议决定：实施建设社会治理创新开放共享平台项目（以下简称本专项）。</w:t>
      </w:r>
    </w:p>
    <w:p w14:paraId="5B914BA6">
      <w:pPr>
        <w:spacing w:line="600" w:lineRule="exact"/>
        <w:ind w:firstLine="643" w:firstLineChars="200"/>
        <w:rPr>
          <w:b/>
          <w:bCs/>
          <w:sz w:val="32"/>
          <w:szCs w:val="32"/>
        </w:rPr>
      </w:pPr>
      <w:r>
        <w:rPr>
          <w:rFonts w:hint="eastAsia"/>
          <w:b/>
          <w:bCs/>
          <w:sz w:val="32"/>
          <w:szCs w:val="32"/>
        </w:rPr>
        <w:t>2.项目主要实施内容</w:t>
      </w:r>
    </w:p>
    <w:p w14:paraId="63DDE1AF">
      <w:pPr>
        <w:spacing w:line="560" w:lineRule="exact"/>
        <w:ind w:firstLine="640" w:firstLineChars="200"/>
        <w:rPr>
          <w:sz w:val="32"/>
          <w:szCs w:val="32"/>
        </w:rPr>
      </w:pPr>
      <w:r>
        <w:rPr>
          <w:rFonts w:hint="eastAsia"/>
          <w:sz w:val="32"/>
          <w:szCs w:val="32"/>
        </w:rPr>
        <w:t>本专项具体实施单位为中共邵阳市委政法委员会（以下简称</w:t>
      </w:r>
      <w:r>
        <w:rPr>
          <w:rFonts w:hint="eastAsia"/>
          <w:sz w:val="32"/>
          <w:szCs w:val="32"/>
          <w:lang w:eastAsia="zh-CN"/>
        </w:rPr>
        <w:t>市委政法委</w:t>
      </w:r>
      <w:r>
        <w:rPr>
          <w:rFonts w:hint="eastAsia"/>
          <w:sz w:val="32"/>
          <w:szCs w:val="32"/>
        </w:rPr>
        <w:t>），</w:t>
      </w:r>
      <w:r>
        <w:rPr>
          <w:rFonts w:hint="eastAsia"/>
          <w:sz w:val="32"/>
          <w:szCs w:val="32"/>
          <w:lang w:val="en-US" w:eastAsia="zh-CN"/>
        </w:rPr>
        <w:t>其</w:t>
      </w:r>
      <w:r>
        <w:rPr>
          <w:rFonts w:hint="eastAsia"/>
          <w:sz w:val="32"/>
          <w:szCs w:val="32"/>
        </w:rPr>
        <w:t>实施内容：</w:t>
      </w:r>
    </w:p>
    <w:p w14:paraId="2DBCFD1C">
      <w:pPr>
        <w:spacing w:line="560" w:lineRule="exact"/>
        <w:ind w:firstLine="640" w:firstLineChars="200"/>
        <w:rPr>
          <w:sz w:val="32"/>
          <w:szCs w:val="32"/>
        </w:rPr>
      </w:pPr>
      <w:r>
        <w:rPr>
          <w:rFonts w:hint="eastAsia"/>
          <w:sz w:val="32"/>
          <w:szCs w:val="32"/>
        </w:rPr>
        <w:t>（1）建设社会应用平台。主要包括社会治理平台统一门户、市域治理评估系统、三治融合和平安志愿者服务应用、网格化实战系统、网格化平台数据资源库扩展、与省综治信息系统扩展性对接、网格化平台数据迁移、心理疏导和危机干预平台、市域社会治理可视化展示、严重精神障碍患者监管、刑满释人员管服和布控预警系统；</w:t>
      </w:r>
    </w:p>
    <w:p w14:paraId="55ED8C26">
      <w:pPr>
        <w:spacing w:line="560" w:lineRule="exact"/>
        <w:ind w:firstLine="640" w:firstLineChars="200"/>
        <w:rPr>
          <w:sz w:val="32"/>
          <w:szCs w:val="32"/>
        </w:rPr>
      </w:pPr>
      <w:r>
        <w:rPr>
          <w:rFonts w:hint="eastAsia"/>
          <w:sz w:val="32"/>
          <w:szCs w:val="32"/>
        </w:rPr>
        <w:t>（2）建设基础平台。主要包括感知服务中心、AI服务中心和数据治理中心；</w:t>
      </w:r>
    </w:p>
    <w:p w14:paraId="0487A60B">
      <w:pPr>
        <w:spacing w:line="560" w:lineRule="exact"/>
        <w:ind w:firstLine="640" w:firstLineChars="200"/>
        <w:rPr>
          <w:sz w:val="32"/>
          <w:szCs w:val="32"/>
        </w:rPr>
      </w:pPr>
      <w:r>
        <w:rPr>
          <w:rFonts w:hint="eastAsia"/>
          <w:sz w:val="32"/>
          <w:szCs w:val="32"/>
        </w:rPr>
        <w:t>（3）建设云平台。主要包括云计算平台、云储存中心；</w:t>
      </w:r>
    </w:p>
    <w:p w14:paraId="45E17C76">
      <w:pPr>
        <w:spacing w:line="560" w:lineRule="exact"/>
        <w:ind w:firstLine="640" w:firstLineChars="200"/>
        <w:rPr>
          <w:sz w:val="32"/>
          <w:szCs w:val="32"/>
        </w:rPr>
      </w:pPr>
      <w:r>
        <w:rPr>
          <w:rFonts w:hint="eastAsia"/>
          <w:sz w:val="32"/>
          <w:szCs w:val="32"/>
        </w:rPr>
        <w:t>（4）基础设施建设。主要包括UPS间建设、网络及安全系统；</w:t>
      </w:r>
    </w:p>
    <w:p w14:paraId="3F9C8B18">
      <w:pPr>
        <w:spacing w:line="560" w:lineRule="exact"/>
        <w:ind w:firstLine="640" w:firstLineChars="200"/>
        <w:rPr>
          <w:sz w:val="32"/>
          <w:szCs w:val="32"/>
        </w:rPr>
      </w:pPr>
      <w:r>
        <w:rPr>
          <w:rFonts w:hint="eastAsia"/>
          <w:sz w:val="32"/>
          <w:szCs w:val="32"/>
        </w:rPr>
        <w:t>（5）智慧党建。主要完成智慧党建系统建设。</w:t>
      </w:r>
    </w:p>
    <w:p w14:paraId="0AEE1913">
      <w:pPr>
        <w:pStyle w:val="5"/>
        <w:ind w:firstLine="643" w:firstLineChars="200"/>
        <w:outlineLvl w:val="1"/>
        <w:rPr>
          <w:rFonts w:ascii="Times New Roman" w:hAnsi="Times New Roman" w:eastAsia="楷体_GB2312"/>
          <w:b/>
          <w:sz w:val="32"/>
          <w:szCs w:val="32"/>
        </w:rPr>
      </w:pPr>
      <w:r>
        <w:rPr>
          <w:rFonts w:hint="eastAsia" w:ascii="Times New Roman" w:hAnsi="Times New Roman" w:eastAsia="楷体_GB2312"/>
          <w:b/>
          <w:sz w:val="32"/>
          <w:szCs w:val="32"/>
        </w:rPr>
        <w:t>（二）专项资金安排和使用情况</w:t>
      </w:r>
    </w:p>
    <w:p w14:paraId="269341DE">
      <w:pPr>
        <w:spacing w:line="600" w:lineRule="exact"/>
        <w:ind w:firstLine="643" w:firstLineChars="200"/>
        <w:rPr>
          <w:b/>
          <w:bCs/>
          <w:sz w:val="32"/>
          <w:szCs w:val="32"/>
        </w:rPr>
      </w:pPr>
      <w:r>
        <w:rPr>
          <w:rFonts w:hint="eastAsia"/>
          <w:b/>
          <w:bCs/>
          <w:sz w:val="32"/>
          <w:szCs w:val="32"/>
        </w:rPr>
        <w:t>1.专项资金安排情况</w:t>
      </w:r>
    </w:p>
    <w:p w14:paraId="33F4A035">
      <w:pPr>
        <w:spacing w:line="560" w:lineRule="exact"/>
        <w:ind w:firstLine="640" w:firstLineChars="200"/>
        <w:rPr>
          <w:sz w:val="32"/>
          <w:szCs w:val="32"/>
        </w:rPr>
      </w:pPr>
      <w:r>
        <w:rPr>
          <w:rFonts w:hint="eastAsia"/>
          <w:sz w:val="32"/>
          <w:szCs w:val="32"/>
        </w:rPr>
        <w:t>2020年，市人大批准</w:t>
      </w:r>
      <w:r>
        <w:rPr>
          <w:rFonts w:hint="eastAsia"/>
          <w:sz w:val="32"/>
          <w:szCs w:val="32"/>
          <w:lang w:eastAsia="zh-CN"/>
        </w:rPr>
        <w:t>市委政法委</w:t>
      </w:r>
      <w:r>
        <w:rPr>
          <w:rFonts w:hint="eastAsia"/>
          <w:sz w:val="32"/>
          <w:szCs w:val="32"/>
        </w:rPr>
        <w:t>本专项资金1000万元，2020年11月，市财政局通过邵财预〔</w:t>
      </w:r>
      <w:r>
        <w:rPr>
          <w:sz w:val="32"/>
          <w:szCs w:val="32"/>
        </w:rPr>
        <w:t>2020</w:t>
      </w:r>
      <w:r>
        <w:rPr>
          <w:rFonts w:hint="eastAsia"/>
          <w:sz w:val="32"/>
          <w:szCs w:val="32"/>
        </w:rPr>
        <w:t>〕101号文下达资金1000万元。2021年10月通过邵财预〔</w:t>
      </w:r>
      <w:r>
        <w:rPr>
          <w:sz w:val="32"/>
          <w:szCs w:val="32"/>
        </w:rPr>
        <w:t>202</w:t>
      </w:r>
      <w:r>
        <w:rPr>
          <w:rFonts w:hint="eastAsia"/>
          <w:sz w:val="32"/>
          <w:szCs w:val="32"/>
        </w:rPr>
        <w:t>1〕0119号文调增预算335万元。本专项共下拨财政资金1335万元，资金到位率100%。</w:t>
      </w:r>
    </w:p>
    <w:p w14:paraId="7B037BF3">
      <w:pPr>
        <w:spacing w:line="600" w:lineRule="exact"/>
        <w:ind w:firstLine="643" w:firstLineChars="200"/>
        <w:rPr>
          <w:b/>
          <w:bCs/>
          <w:sz w:val="32"/>
          <w:szCs w:val="32"/>
        </w:rPr>
      </w:pPr>
      <w:r>
        <w:rPr>
          <w:rFonts w:hint="eastAsia"/>
          <w:b/>
          <w:bCs/>
          <w:sz w:val="32"/>
          <w:szCs w:val="32"/>
        </w:rPr>
        <w:t>2.专项资金使用情况</w:t>
      </w:r>
    </w:p>
    <w:p w14:paraId="360CE0A6">
      <w:pPr>
        <w:spacing w:line="560" w:lineRule="exact"/>
        <w:ind w:firstLine="640" w:firstLineChars="200"/>
        <w:rPr>
          <w:sz w:val="32"/>
          <w:szCs w:val="32"/>
        </w:rPr>
      </w:pPr>
      <w:r>
        <w:rPr>
          <w:rFonts w:hint="eastAsia"/>
          <w:sz w:val="32"/>
          <w:szCs w:val="32"/>
        </w:rPr>
        <w:t>截止2021年12月31日，本专项资金共支出1261.42万元，结余73.58万元。其中2020年支出34.19万元，2021年支出1221.51万元，2022年支出5.72万元，总预算执行率为94.49%。专项资金支出情况详见下表：</w:t>
      </w:r>
    </w:p>
    <w:tbl>
      <w:tblPr>
        <w:tblStyle w:val="11"/>
        <w:tblW w:w="8605" w:type="dxa"/>
        <w:jc w:val="center"/>
        <w:tblLayout w:type="fixed"/>
        <w:tblCellMar>
          <w:top w:w="0" w:type="dxa"/>
          <w:left w:w="108" w:type="dxa"/>
          <w:bottom w:w="0" w:type="dxa"/>
          <w:right w:w="108" w:type="dxa"/>
        </w:tblCellMar>
      </w:tblPr>
      <w:tblGrid>
        <w:gridCol w:w="718"/>
        <w:gridCol w:w="3947"/>
        <w:gridCol w:w="2266"/>
        <w:gridCol w:w="1674"/>
      </w:tblGrid>
      <w:tr w14:paraId="592D6AF3">
        <w:tblPrEx>
          <w:tblCellMar>
            <w:top w:w="0" w:type="dxa"/>
            <w:left w:w="108" w:type="dxa"/>
            <w:bottom w:w="0" w:type="dxa"/>
            <w:right w:w="108" w:type="dxa"/>
          </w:tblCellMar>
        </w:tblPrEx>
        <w:trPr>
          <w:trHeight w:val="760" w:hRule="atLeast"/>
          <w:jc w:val="center"/>
        </w:trPr>
        <w:tc>
          <w:tcPr>
            <w:tcW w:w="8605" w:type="dxa"/>
            <w:gridSpan w:val="4"/>
            <w:tcBorders>
              <w:top w:val="nil"/>
              <w:left w:val="nil"/>
              <w:bottom w:val="nil"/>
              <w:right w:val="nil"/>
            </w:tcBorders>
            <w:shd w:val="clear" w:color="auto" w:fill="auto"/>
            <w:vAlign w:val="center"/>
          </w:tcPr>
          <w:p w14:paraId="4EDD58D3">
            <w:pPr>
              <w:widowControl/>
              <w:jc w:val="center"/>
              <w:textAlignment w:val="center"/>
              <w:rPr>
                <w:rFonts w:eastAsia="宋体"/>
                <w:b/>
                <w:bCs/>
                <w:color w:val="000000"/>
                <w:sz w:val="32"/>
                <w:szCs w:val="32"/>
              </w:rPr>
            </w:pPr>
            <w:r>
              <w:rPr>
                <w:rFonts w:hint="eastAsia" w:eastAsia="仿宋"/>
                <w:b/>
                <w:bCs/>
                <w:kern w:val="0"/>
                <w:sz w:val="32"/>
                <w:szCs w:val="32"/>
                <w:lang w:val="en-US" w:eastAsia="zh-CN" w:bidi="ar"/>
              </w:rPr>
              <w:t>本</w:t>
            </w:r>
            <w:r>
              <w:rPr>
                <w:rFonts w:hint="eastAsia" w:eastAsia="仿宋"/>
                <w:b/>
                <w:bCs/>
                <w:kern w:val="0"/>
                <w:sz w:val="32"/>
                <w:szCs w:val="32"/>
                <w:lang w:bidi="ar"/>
              </w:rPr>
              <w:t>专项</w:t>
            </w:r>
            <w:r>
              <w:rPr>
                <w:rFonts w:eastAsia="仿宋"/>
                <w:b/>
                <w:bCs/>
                <w:kern w:val="0"/>
                <w:sz w:val="32"/>
                <w:szCs w:val="32"/>
                <w:lang w:bidi="ar"/>
              </w:rPr>
              <w:t>资金支出明细表</w:t>
            </w:r>
          </w:p>
        </w:tc>
      </w:tr>
      <w:tr w14:paraId="4E4E647B">
        <w:tblPrEx>
          <w:tblCellMar>
            <w:top w:w="0" w:type="dxa"/>
            <w:left w:w="108" w:type="dxa"/>
            <w:bottom w:w="0" w:type="dxa"/>
            <w:right w:w="108" w:type="dxa"/>
          </w:tblCellMar>
        </w:tblPrEx>
        <w:trPr>
          <w:trHeight w:val="424" w:hRule="atLeast"/>
          <w:jc w:val="center"/>
        </w:trPr>
        <w:tc>
          <w:tcPr>
            <w:tcW w:w="86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27375">
            <w:pPr>
              <w:widowControl/>
              <w:jc w:val="center"/>
              <w:textAlignment w:val="center"/>
              <w:rPr>
                <w:rFonts w:eastAsia="仿宋"/>
                <w:b/>
                <w:bCs/>
                <w:color w:val="000000"/>
                <w:sz w:val="28"/>
                <w:szCs w:val="28"/>
              </w:rPr>
            </w:pPr>
            <w:r>
              <w:rPr>
                <w:rFonts w:eastAsia="仿宋"/>
                <w:b/>
                <w:bCs/>
                <w:color w:val="000000"/>
                <w:kern w:val="0"/>
                <w:sz w:val="28"/>
                <w:szCs w:val="28"/>
                <w:lang w:bidi="ar"/>
              </w:rPr>
              <w:t>2020年</w:t>
            </w:r>
            <w:r>
              <w:rPr>
                <w:rFonts w:hint="eastAsia" w:eastAsia="仿宋"/>
                <w:b/>
                <w:bCs/>
                <w:color w:val="000000"/>
                <w:kern w:val="0"/>
                <w:sz w:val="28"/>
                <w:szCs w:val="28"/>
                <w:lang w:bidi="ar"/>
              </w:rPr>
              <w:t>专项</w:t>
            </w:r>
            <w:r>
              <w:rPr>
                <w:rFonts w:eastAsia="仿宋"/>
                <w:b/>
                <w:bCs/>
                <w:color w:val="000000"/>
                <w:kern w:val="0"/>
                <w:sz w:val="28"/>
                <w:szCs w:val="28"/>
                <w:lang w:bidi="ar"/>
              </w:rPr>
              <w:t>资金支出情况</w:t>
            </w:r>
          </w:p>
        </w:tc>
      </w:tr>
      <w:tr w14:paraId="40FFFD04">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B3414">
            <w:pPr>
              <w:widowControl/>
              <w:jc w:val="center"/>
              <w:textAlignment w:val="center"/>
              <w:rPr>
                <w:rFonts w:eastAsia="仿宋"/>
                <w:b/>
                <w:bCs/>
                <w:color w:val="000000"/>
                <w:sz w:val="24"/>
                <w:szCs w:val="24"/>
              </w:rPr>
            </w:pPr>
            <w:r>
              <w:rPr>
                <w:rFonts w:eastAsia="仿宋"/>
                <w:b/>
                <w:bCs/>
                <w:color w:val="000000"/>
                <w:sz w:val="24"/>
                <w:szCs w:val="24"/>
              </w:rPr>
              <w:t>序号</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476A">
            <w:pPr>
              <w:widowControl/>
              <w:jc w:val="center"/>
              <w:textAlignment w:val="center"/>
              <w:rPr>
                <w:rFonts w:eastAsia="仿宋"/>
                <w:b/>
                <w:bCs/>
                <w:color w:val="000000"/>
                <w:sz w:val="24"/>
                <w:szCs w:val="24"/>
              </w:rPr>
            </w:pPr>
            <w:r>
              <w:rPr>
                <w:rFonts w:eastAsia="仿宋"/>
                <w:b/>
                <w:bCs/>
                <w:color w:val="000000"/>
                <w:kern w:val="0"/>
                <w:sz w:val="24"/>
                <w:szCs w:val="24"/>
                <w:lang w:bidi="ar"/>
              </w:rPr>
              <w:t>支出内容</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BC7D8">
            <w:pPr>
              <w:widowControl/>
              <w:jc w:val="center"/>
              <w:textAlignment w:val="center"/>
              <w:rPr>
                <w:rFonts w:eastAsia="仿宋"/>
                <w:b/>
                <w:bCs/>
                <w:color w:val="000000"/>
                <w:sz w:val="24"/>
                <w:szCs w:val="24"/>
              </w:rPr>
            </w:pPr>
            <w:r>
              <w:rPr>
                <w:rFonts w:eastAsia="仿宋"/>
                <w:b/>
                <w:bCs/>
                <w:color w:val="000000"/>
                <w:kern w:val="0"/>
                <w:sz w:val="24"/>
                <w:szCs w:val="24"/>
                <w:lang w:bidi="ar"/>
              </w:rPr>
              <w:t>支出金额（万元）</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EAE0D">
            <w:pPr>
              <w:widowControl/>
              <w:jc w:val="center"/>
              <w:textAlignment w:val="center"/>
              <w:rPr>
                <w:rFonts w:eastAsia="仿宋"/>
                <w:b/>
                <w:bCs/>
                <w:color w:val="000000"/>
                <w:sz w:val="24"/>
                <w:szCs w:val="24"/>
              </w:rPr>
            </w:pPr>
            <w:r>
              <w:rPr>
                <w:rFonts w:eastAsia="仿宋"/>
                <w:b/>
                <w:bCs/>
                <w:color w:val="000000"/>
                <w:sz w:val="24"/>
                <w:szCs w:val="24"/>
              </w:rPr>
              <w:t>备注</w:t>
            </w:r>
          </w:p>
        </w:tc>
      </w:tr>
      <w:tr w14:paraId="247919F2">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C2A7D">
            <w:pPr>
              <w:widowControl/>
              <w:jc w:val="center"/>
              <w:textAlignment w:val="center"/>
              <w:rPr>
                <w:rFonts w:eastAsia="仿宋"/>
                <w:color w:val="000000"/>
                <w:kern w:val="0"/>
                <w:sz w:val="24"/>
                <w:szCs w:val="24"/>
                <w:lang w:bidi="ar"/>
              </w:rPr>
            </w:pPr>
            <w:r>
              <w:rPr>
                <w:rFonts w:eastAsia="仿宋"/>
                <w:color w:val="000000"/>
                <w:kern w:val="0"/>
                <w:sz w:val="24"/>
                <w:szCs w:val="24"/>
                <w:lang w:bidi="ar"/>
              </w:rPr>
              <w:t>1</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E251D">
            <w:pPr>
              <w:widowControl/>
              <w:jc w:val="center"/>
              <w:textAlignment w:val="center"/>
              <w:rPr>
                <w:rFonts w:eastAsia="仿宋"/>
                <w:color w:val="000000"/>
                <w:kern w:val="0"/>
                <w:sz w:val="24"/>
                <w:szCs w:val="24"/>
                <w:lang w:bidi="ar"/>
              </w:rPr>
            </w:pPr>
            <w:r>
              <w:rPr>
                <w:rFonts w:eastAsia="仿宋"/>
                <w:color w:val="000000"/>
                <w:kern w:val="0"/>
                <w:sz w:val="24"/>
                <w:szCs w:val="24"/>
                <w:lang w:bidi="ar"/>
              </w:rPr>
              <w:t>设计费</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042E9">
            <w:pPr>
              <w:widowControl/>
              <w:jc w:val="center"/>
              <w:textAlignment w:val="center"/>
              <w:rPr>
                <w:rFonts w:eastAsia="宋体"/>
                <w:color w:val="000000"/>
                <w:sz w:val="22"/>
                <w:szCs w:val="22"/>
              </w:rPr>
            </w:pPr>
            <w:r>
              <w:rPr>
                <w:rFonts w:eastAsia="宋体"/>
                <w:color w:val="000000"/>
                <w:kern w:val="0"/>
                <w:sz w:val="22"/>
                <w:szCs w:val="22"/>
                <w:lang w:bidi="ar"/>
              </w:rPr>
              <w:t>19.04</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B9F74">
            <w:pPr>
              <w:widowControl/>
              <w:jc w:val="center"/>
              <w:textAlignment w:val="center"/>
              <w:rPr>
                <w:rFonts w:eastAsia="仿宋"/>
                <w:color w:val="000000"/>
                <w:kern w:val="0"/>
                <w:sz w:val="24"/>
                <w:szCs w:val="24"/>
                <w:lang w:bidi="ar"/>
              </w:rPr>
            </w:pPr>
          </w:p>
        </w:tc>
      </w:tr>
      <w:tr w14:paraId="6B89E509">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65358">
            <w:pPr>
              <w:widowControl/>
              <w:jc w:val="center"/>
              <w:textAlignment w:val="center"/>
              <w:rPr>
                <w:rFonts w:eastAsia="仿宋"/>
                <w:color w:val="000000"/>
                <w:kern w:val="0"/>
                <w:sz w:val="24"/>
                <w:szCs w:val="24"/>
                <w:lang w:bidi="ar"/>
              </w:rPr>
            </w:pPr>
            <w:r>
              <w:rPr>
                <w:rFonts w:eastAsia="仿宋"/>
                <w:color w:val="000000"/>
                <w:kern w:val="0"/>
                <w:sz w:val="24"/>
                <w:szCs w:val="24"/>
                <w:lang w:bidi="ar"/>
              </w:rPr>
              <w:t>2</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CF299">
            <w:pPr>
              <w:widowControl/>
              <w:jc w:val="center"/>
              <w:textAlignment w:val="center"/>
              <w:rPr>
                <w:rFonts w:eastAsia="仿宋"/>
                <w:color w:val="000000"/>
                <w:kern w:val="0"/>
                <w:sz w:val="24"/>
                <w:szCs w:val="24"/>
                <w:lang w:bidi="ar"/>
              </w:rPr>
            </w:pPr>
            <w:r>
              <w:rPr>
                <w:rFonts w:eastAsia="仿宋"/>
                <w:color w:val="000000"/>
                <w:kern w:val="0"/>
                <w:sz w:val="24"/>
                <w:szCs w:val="24"/>
                <w:lang w:bidi="ar"/>
              </w:rPr>
              <w:t>咨询费</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8AFE0">
            <w:pPr>
              <w:widowControl/>
              <w:jc w:val="center"/>
              <w:textAlignment w:val="center"/>
              <w:rPr>
                <w:rFonts w:eastAsia="宋体"/>
                <w:color w:val="000000"/>
                <w:kern w:val="0"/>
                <w:sz w:val="22"/>
                <w:szCs w:val="22"/>
                <w:lang w:bidi="ar"/>
              </w:rPr>
            </w:pPr>
            <w:r>
              <w:rPr>
                <w:rFonts w:eastAsia="宋体"/>
                <w:color w:val="000000"/>
                <w:kern w:val="0"/>
                <w:sz w:val="22"/>
                <w:szCs w:val="22"/>
                <w:lang w:bidi="ar"/>
              </w:rPr>
              <w:t>4</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9D1A">
            <w:pPr>
              <w:widowControl/>
              <w:jc w:val="right"/>
              <w:textAlignment w:val="center"/>
              <w:rPr>
                <w:rFonts w:eastAsia="宋体"/>
                <w:color w:val="000000"/>
                <w:kern w:val="0"/>
                <w:sz w:val="22"/>
                <w:szCs w:val="22"/>
                <w:lang w:bidi="ar"/>
              </w:rPr>
            </w:pPr>
          </w:p>
        </w:tc>
      </w:tr>
      <w:tr w14:paraId="68FC347C">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FDF9E">
            <w:pPr>
              <w:widowControl/>
              <w:jc w:val="center"/>
              <w:textAlignment w:val="center"/>
              <w:rPr>
                <w:rFonts w:eastAsia="仿宋"/>
                <w:color w:val="000000"/>
                <w:kern w:val="0"/>
                <w:sz w:val="24"/>
                <w:szCs w:val="24"/>
                <w:lang w:bidi="ar"/>
              </w:rPr>
            </w:pPr>
            <w:r>
              <w:rPr>
                <w:rFonts w:eastAsia="仿宋"/>
                <w:color w:val="000000"/>
                <w:kern w:val="0"/>
                <w:sz w:val="24"/>
                <w:szCs w:val="24"/>
                <w:lang w:bidi="ar"/>
              </w:rPr>
              <w:t>3</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2C7E">
            <w:pPr>
              <w:widowControl/>
              <w:jc w:val="center"/>
              <w:textAlignment w:val="center"/>
              <w:rPr>
                <w:rFonts w:eastAsia="仿宋"/>
                <w:color w:val="000000"/>
                <w:kern w:val="0"/>
                <w:sz w:val="24"/>
                <w:szCs w:val="24"/>
                <w:lang w:bidi="ar"/>
              </w:rPr>
            </w:pPr>
            <w:r>
              <w:rPr>
                <w:rFonts w:eastAsia="仿宋"/>
                <w:color w:val="000000"/>
                <w:kern w:val="0"/>
                <w:sz w:val="24"/>
                <w:szCs w:val="24"/>
                <w:lang w:bidi="ar"/>
              </w:rPr>
              <w:t>支付学历学费补助、差旅费、纪实稿费、开无非、考务费等共9笔</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7E15">
            <w:pPr>
              <w:widowControl/>
              <w:jc w:val="center"/>
              <w:textAlignment w:val="center"/>
              <w:rPr>
                <w:rFonts w:eastAsia="宋体"/>
                <w:color w:val="000000"/>
                <w:kern w:val="0"/>
                <w:sz w:val="22"/>
                <w:szCs w:val="22"/>
                <w:lang w:bidi="ar"/>
              </w:rPr>
            </w:pPr>
            <w:r>
              <w:rPr>
                <w:rFonts w:eastAsia="宋体"/>
                <w:color w:val="000000"/>
                <w:kern w:val="0"/>
                <w:sz w:val="22"/>
                <w:szCs w:val="22"/>
                <w:lang w:bidi="ar"/>
              </w:rPr>
              <w:t>11.15</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E7818">
            <w:pPr>
              <w:widowControl/>
              <w:jc w:val="center"/>
              <w:textAlignment w:val="center"/>
              <w:rPr>
                <w:rFonts w:eastAsia="宋体"/>
                <w:color w:val="000000"/>
                <w:kern w:val="0"/>
                <w:sz w:val="22"/>
                <w:szCs w:val="22"/>
                <w:lang w:bidi="ar"/>
              </w:rPr>
            </w:pPr>
            <w:r>
              <w:rPr>
                <w:rFonts w:eastAsia="宋体"/>
                <w:color w:val="000000"/>
                <w:kern w:val="0"/>
                <w:sz w:val="22"/>
                <w:szCs w:val="22"/>
                <w:lang w:bidi="ar"/>
              </w:rPr>
              <w:t>非</w:t>
            </w:r>
            <w:r>
              <w:rPr>
                <w:rFonts w:hint="eastAsia" w:eastAsia="宋体"/>
                <w:color w:val="000000"/>
                <w:kern w:val="0"/>
                <w:sz w:val="22"/>
                <w:szCs w:val="22"/>
                <w:lang w:bidi="ar"/>
              </w:rPr>
              <w:t>本专项建</w:t>
            </w:r>
            <w:r>
              <w:rPr>
                <w:rFonts w:hint="eastAsia" w:eastAsia="宋体"/>
                <w:color w:val="000000"/>
                <w:kern w:val="0"/>
                <w:sz w:val="22"/>
                <w:szCs w:val="22"/>
                <w:lang w:bidi="ar"/>
              </w:rPr>
              <w:br w:type="textWrapping"/>
            </w:r>
            <w:r>
              <w:rPr>
                <w:rFonts w:hint="eastAsia" w:eastAsia="宋体"/>
                <w:color w:val="000000"/>
                <w:kern w:val="0"/>
                <w:sz w:val="22"/>
                <w:szCs w:val="22"/>
                <w:lang w:bidi="ar"/>
              </w:rPr>
              <w:t>设内容</w:t>
            </w:r>
            <w:r>
              <w:rPr>
                <w:rFonts w:eastAsia="宋体"/>
                <w:color w:val="000000"/>
                <w:kern w:val="0"/>
                <w:sz w:val="22"/>
                <w:szCs w:val="22"/>
                <w:lang w:bidi="ar"/>
              </w:rPr>
              <w:t>支出</w:t>
            </w:r>
          </w:p>
        </w:tc>
      </w:tr>
      <w:tr w14:paraId="7DA89852">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C8B13">
            <w:pPr>
              <w:widowControl/>
              <w:jc w:val="center"/>
              <w:textAlignment w:val="center"/>
              <w:rPr>
                <w:rFonts w:eastAsia="仿宋"/>
                <w:b/>
                <w:bCs/>
                <w:color w:val="000000"/>
                <w:kern w:val="0"/>
                <w:sz w:val="24"/>
                <w:szCs w:val="24"/>
                <w:lang w:bidi="ar"/>
              </w:rPr>
            </w:pPr>
            <w:r>
              <w:rPr>
                <w:rFonts w:eastAsia="仿宋"/>
                <w:b/>
                <w:bCs/>
                <w:color w:val="000000"/>
                <w:kern w:val="0"/>
                <w:sz w:val="24"/>
                <w:szCs w:val="24"/>
                <w:lang w:bidi="ar"/>
              </w:rPr>
              <w:t>小计</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7C5B6">
            <w:pPr>
              <w:widowControl/>
              <w:jc w:val="center"/>
              <w:textAlignment w:val="center"/>
              <w:rPr>
                <w:rFonts w:eastAsia="仿宋"/>
                <w:b/>
                <w:bCs/>
                <w:color w:val="000000"/>
                <w:kern w:val="0"/>
                <w:sz w:val="24"/>
                <w:szCs w:val="24"/>
                <w:lang w:bidi="ar"/>
              </w:rPr>
            </w:pPr>
            <w:r>
              <w:rPr>
                <w:rFonts w:eastAsia="仿宋"/>
                <w:b/>
                <w:bCs/>
                <w:color w:val="000000"/>
                <w:kern w:val="0"/>
                <w:sz w:val="24"/>
                <w:szCs w:val="24"/>
                <w:lang w:bidi="ar"/>
              </w:rPr>
              <w:t>-</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878B">
            <w:pPr>
              <w:widowControl/>
              <w:jc w:val="center"/>
              <w:textAlignment w:val="center"/>
              <w:rPr>
                <w:rFonts w:eastAsia="宋体"/>
                <w:b/>
                <w:bCs/>
                <w:color w:val="000000"/>
                <w:kern w:val="0"/>
                <w:sz w:val="22"/>
                <w:szCs w:val="22"/>
                <w:lang w:bidi="ar"/>
              </w:rPr>
            </w:pPr>
            <w:r>
              <w:rPr>
                <w:rFonts w:eastAsia="宋体"/>
                <w:b/>
                <w:bCs/>
                <w:color w:val="000000"/>
                <w:kern w:val="0"/>
                <w:sz w:val="22"/>
                <w:szCs w:val="22"/>
                <w:lang w:bidi="ar"/>
              </w:rPr>
              <w:t>34.19</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7B1CE">
            <w:pPr>
              <w:widowControl/>
              <w:jc w:val="center"/>
              <w:textAlignment w:val="center"/>
              <w:rPr>
                <w:rFonts w:eastAsia="仿宋"/>
                <w:b/>
                <w:bCs/>
                <w:color w:val="000000"/>
                <w:kern w:val="0"/>
                <w:sz w:val="24"/>
                <w:szCs w:val="24"/>
                <w:lang w:bidi="ar"/>
              </w:rPr>
            </w:pPr>
          </w:p>
        </w:tc>
      </w:tr>
      <w:tr w14:paraId="0E990150">
        <w:tblPrEx>
          <w:tblCellMar>
            <w:top w:w="0" w:type="dxa"/>
            <w:left w:w="108" w:type="dxa"/>
            <w:bottom w:w="0" w:type="dxa"/>
            <w:right w:w="108" w:type="dxa"/>
          </w:tblCellMar>
        </w:tblPrEx>
        <w:trPr>
          <w:trHeight w:val="430" w:hRule="atLeast"/>
          <w:jc w:val="center"/>
        </w:trPr>
        <w:tc>
          <w:tcPr>
            <w:tcW w:w="86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63B38">
            <w:pPr>
              <w:widowControl/>
              <w:jc w:val="center"/>
              <w:textAlignment w:val="center"/>
              <w:rPr>
                <w:rFonts w:eastAsia="仿宋"/>
                <w:b/>
                <w:bCs/>
                <w:color w:val="000000"/>
                <w:kern w:val="0"/>
                <w:sz w:val="24"/>
                <w:szCs w:val="24"/>
                <w:lang w:bidi="ar"/>
              </w:rPr>
            </w:pPr>
            <w:r>
              <w:rPr>
                <w:rFonts w:eastAsia="仿宋"/>
                <w:b/>
                <w:bCs/>
                <w:color w:val="000000"/>
                <w:kern w:val="0"/>
                <w:sz w:val="28"/>
                <w:szCs w:val="28"/>
                <w:lang w:bidi="ar"/>
              </w:rPr>
              <w:t>2021年</w:t>
            </w:r>
            <w:r>
              <w:rPr>
                <w:rFonts w:hint="eastAsia" w:eastAsia="仿宋"/>
                <w:b/>
                <w:bCs/>
                <w:color w:val="000000"/>
                <w:kern w:val="0"/>
                <w:sz w:val="28"/>
                <w:szCs w:val="28"/>
                <w:lang w:bidi="ar"/>
              </w:rPr>
              <w:t>专项</w:t>
            </w:r>
            <w:r>
              <w:rPr>
                <w:rFonts w:eastAsia="仿宋"/>
                <w:b/>
                <w:bCs/>
                <w:color w:val="000000"/>
                <w:kern w:val="0"/>
                <w:sz w:val="28"/>
                <w:szCs w:val="28"/>
                <w:lang w:bidi="ar"/>
              </w:rPr>
              <w:t>资金支出情况</w:t>
            </w:r>
          </w:p>
        </w:tc>
      </w:tr>
      <w:tr w14:paraId="6C0B286F">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0FDB3">
            <w:pPr>
              <w:widowControl/>
              <w:jc w:val="center"/>
              <w:textAlignment w:val="center"/>
              <w:rPr>
                <w:rFonts w:eastAsia="仿宋"/>
                <w:color w:val="000000"/>
                <w:kern w:val="0"/>
                <w:sz w:val="24"/>
                <w:szCs w:val="24"/>
                <w:lang w:bidi="ar"/>
              </w:rPr>
            </w:pPr>
            <w:r>
              <w:rPr>
                <w:rFonts w:eastAsia="仿宋"/>
                <w:color w:val="000000"/>
                <w:kern w:val="0"/>
                <w:sz w:val="24"/>
                <w:szCs w:val="24"/>
                <w:lang w:bidi="ar"/>
              </w:rPr>
              <w:t>4</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BAC0C">
            <w:pPr>
              <w:widowControl/>
              <w:jc w:val="center"/>
              <w:textAlignment w:val="center"/>
              <w:rPr>
                <w:rFonts w:eastAsia="仿宋"/>
                <w:color w:val="000000"/>
                <w:kern w:val="0"/>
                <w:sz w:val="24"/>
                <w:szCs w:val="24"/>
                <w:lang w:bidi="ar"/>
              </w:rPr>
            </w:pPr>
            <w:r>
              <w:rPr>
                <w:rFonts w:eastAsia="仿宋"/>
                <w:color w:val="000000"/>
                <w:kern w:val="0"/>
                <w:sz w:val="24"/>
                <w:szCs w:val="24"/>
                <w:lang w:bidi="ar"/>
              </w:rPr>
              <w:t>邵阳市社会治安创新开放共享平台建设合同款</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1111D">
            <w:pPr>
              <w:widowControl/>
              <w:jc w:val="center"/>
              <w:textAlignment w:val="center"/>
              <w:rPr>
                <w:rFonts w:eastAsia="宋体"/>
                <w:color w:val="000000"/>
                <w:kern w:val="0"/>
                <w:sz w:val="22"/>
                <w:szCs w:val="22"/>
                <w:lang w:bidi="ar"/>
              </w:rPr>
            </w:pPr>
            <w:r>
              <w:rPr>
                <w:rFonts w:eastAsia="宋体"/>
                <w:color w:val="000000"/>
                <w:kern w:val="0"/>
                <w:sz w:val="22"/>
                <w:szCs w:val="22"/>
                <w:lang w:bidi="ar"/>
              </w:rPr>
              <w:t>1181.32</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ADD4">
            <w:pPr>
              <w:widowControl/>
              <w:jc w:val="center"/>
              <w:textAlignment w:val="center"/>
              <w:rPr>
                <w:rFonts w:eastAsia="仿宋"/>
                <w:color w:val="000000"/>
                <w:kern w:val="0"/>
                <w:sz w:val="24"/>
                <w:szCs w:val="24"/>
                <w:lang w:bidi="ar"/>
              </w:rPr>
            </w:pPr>
          </w:p>
        </w:tc>
      </w:tr>
      <w:tr w14:paraId="032F3DDB">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CAC7">
            <w:pPr>
              <w:widowControl/>
              <w:jc w:val="center"/>
              <w:textAlignment w:val="center"/>
              <w:rPr>
                <w:rFonts w:eastAsia="仿宋"/>
                <w:color w:val="000000"/>
                <w:kern w:val="0"/>
                <w:sz w:val="24"/>
                <w:szCs w:val="24"/>
                <w:lang w:bidi="ar"/>
              </w:rPr>
            </w:pPr>
            <w:r>
              <w:rPr>
                <w:rFonts w:eastAsia="仿宋"/>
                <w:color w:val="000000"/>
                <w:kern w:val="0"/>
                <w:sz w:val="24"/>
                <w:szCs w:val="24"/>
                <w:lang w:bidi="ar"/>
              </w:rPr>
              <w:t>5</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DD501">
            <w:pPr>
              <w:widowControl/>
              <w:jc w:val="center"/>
              <w:textAlignment w:val="center"/>
              <w:rPr>
                <w:rFonts w:eastAsia="仿宋"/>
                <w:color w:val="000000"/>
                <w:kern w:val="0"/>
                <w:sz w:val="24"/>
                <w:szCs w:val="24"/>
                <w:lang w:bidi="ar"/>
              </w:rPr>
            </w:pPr>
            <w:r>
              <w:rPr>
                <w:rFonts w:eastAsia="仿宋"/>
                <w:color w:val="000000"/>
                <w:kern w:val="0"/>
                <w:sz w:val="24"/>
                <w:szCs w:val="24"/>
                <w:lang w:bidi="ar"/>
              </w:rPr>
              <w:t>监理费</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8DE1E">
            <w:pPr>
              <w:widowControl/>
              <w:jc w:val="center"/>
              <w:textAlignment w:val="center"/>
              <w:rPr>
                <w:rFonts w:eastAsia="宋体"/>
                <w:color w:val="000000"/>
                <w:kern w:val="0"/>
                <w:sz w:val="22"/>
                <w:szCs w:val="22"/>
                <w:lang w:bidi="ar"/>
              </w:rPr>
            </w:pPr>
            <w:r>
              <w:rPr>
                <w:rFonts w:eastAsia="宋体"/>
                <w:color w:val="000000"/>
                <w:kern w:val="0"/>
                <w:sz w:val="22"/>
                <w:szCs w:val="22"/>
                <w:lang w:bidi="ar"/>
              </w:rPr>
              <w:t>5.72</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FE1FB">
            <w:pPr>
              <w:widowControl/>
              <w:jc w:val="center"/>
              <w:textAlignment w:val="center"/>
              <w:rPr>
                <w:rFonts w:eastAsia="宋体"/>
                <w:color w:val="000000"/>
                <w:kern w:val="0"/>
                <w:sz w:val="22"/>
                <w:szCs w:val="22"/>
                <w:lang w:bidi="ar"/>
              </w:rPr>
            </w:pPr>
          </w:p>
        </w:tc>
      </w:tr>
      <w:tr w14:paraId="1889A858">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B54BA">
            <w:pPr>
              <w:widowControl/>
              <w:jc w:val="center"/>
              <w:textAlignment w:val="center"/>
              <w:rPr>
                <w:rFonts w:eastAsia="仿宋"/>
                <w:color w:val="000000"/>
                <w:kern w:val="0"/>
                <w:sz w:val="24"/>
                <w:szCs w:val="24"/>
                <w:lang w:bidi="ar"/>
              </w:rPr>
            </w:pPr>
            <w:r>
              <w:rPr>
                <w:rFonts w:eastAsia="仿宋"/>
                <w:color w:val="000000"/>
                <w:kern w:val="0"/>
                <w:sz w:val="24"/>
                <w:szCs w:val="24"/>
                <w:lang w:bidi="ar"/>
              </w:rPr>
              <w:t>6</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0FC94">
            <w:pPr>
              <w:widowControl/>
              <w:jc w:val="center"/>
              <w:textAlignment w:val="center"/>
              <w:rPr>
                <w:rFonts w:eastAsia="仿宋"/>
                <w:color w:val="000000"/>
                <w:kern w:val="0"/>
                <w:sz w:val="24"/>
                <w:szCs w:val="24"/>
                <w:lang w:bidi="ar"/>
              </w:rPr>
            </w:pPr>
            <w:r>
              <w:rPr>
                <w:rFonts w:eastAsia="仿宋"/>
                <w:color w:val="000000"/>
                <w:kern w:val="0"/>
                <w:sz w:val="24"/>
                <w:szCs w:val="24"/>
                <w:lang w:bidi="ar"/>
              </w:rPr>
              <w:t>设计费</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82118">
            <w:pPr>
              <w:widowControl/>
              <w:jc w:val="center"/>
              <w:textAlignment w:val="center"/>
              <w:rPr>
                <w:rFonts w:eastAsia="宋体"/>
                <w:color w:val="000000"/>
                <w:sz w:val="22"/>
                <w:szCs w:val="22"/>
              </w:rPr>
            </w:pPr>
            <w:r>
              <w:rPr>
                <w:rFonts w:eastAsia="宋体"/>
                <w:color w:val="000000"/>
                <w:kern w:val="0"/>
                <w:sz w:val="22"/>
                <w:szCs w:val="22"/>
                <w:lang w:bidi="ar"/>
              </w:rPr>
              <w:t>4.76</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C4BE4">
            <w:pPr>
              <w:widowControl/>
              <w:jc w:val="center"/>
              <w:textAlignment w:val="center"/>
              <w:rPr>
                <w:rFonts w:eastAsia="仿宋"/>
                <w:color w:val="000000"/>
                <w:kern w:val="0"/>
                <w:sz w:val="24"/>
                <w:szCs w:val="24"/>
                <w:lang w:bidi="ar"/>
              </w:rPr>
            </w:pPr>
          </w:p>
        </w:tc>
      </w:tr>
      <w:tr w14:paraId="3C620C29">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57143">
            <w:pPr>
              <w:widowControl/>
              <w:jc w:val="center"/>
              <w:textAlignment w:val="center"/>
              <w:rPr>
                <w:rFonts w:eastAsia="仿宋"/>
                <w:color w:val="000000"/>
                <w:kern w:val="0"/>
                <w:sz w:val="24"/>
                <w:szCs w:val="24"/>
                <w:lang w:bidi="ar"/>
              </w:rPr>
            </w:pPr>
            <w:r>
              <w:rPr>
                <w:rFonts w:eastAsia="仿宋"/>
                <w:color w:val="000000"/>
                <w:kern w:val="0"/>
                <w:sz w:val="24"/>
                <w:szCs w:val="24"/>
                <w:lang w:bidi="ar"/>
              </w:rPr>
              <w:t>7</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3166">
            <w:pPr>
              <w:widowControl/>
              <w:jc w:val="center"/>
              <w:textAlignment w:val="center"/>
              <w:rPr>
                <w:rFonts w:eastAsia="仿宋"/>
                <w:color w:val="000000"/>
                <w:kern w:val="0"/>
                <w:sz w:val="24"/>
                <w:szCs w:val="24"/>
                <w:lang w:bidi="ar"/>
              </w:rPr>
            </w:pPr>
            <w:r>
              <w:rPr>
                <w:rFonts w:eastAsia="仿宋"/>
                <w:color w:val="000000"/>
                <w:kern w:val="0"/>
                <w:sz w:val="24"/>
                <w:szCs w:val="24"/>
                <w:lang w:bidi="ar"/>
              </w:rPr>
              <w:t>政法委基础项目未付及变更增补款项、综治网格化服务费用</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4CA03">
            <w:pPr>
              <w:widowControl/>
              <w:jc w:val="center"/>
              <w:textAlignment w:val="center"/>
              <w:rPr>
                <w:rFonts w:eastAsia="宋体"/>
                <w:color w:val="000000"/>
                <w:sz w:val="22"/>
                <w:szCs w:val="22"/>
              </w:rPr>
            </w:pPr>
            <w:r>
              <w:rPr>
                <w:rFonts w:eastAsia="宋体"/>
                <w:color w:val="000000"/>
                <w:kern w:val="0"/>
                <w:sz w:val="22"/>
                <w:szCs w:val="22"/>
                <w:lang w:bidi="ar"/>
              </w:rPr>
              <w:t>24.14</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ACA6">
            <w:pPr>
              <w:widowControl/>
              <w:jc w:val="center"/>
              <w:textAlignment w:val="center"/>
              <w:rPr>
                <w:rFonts w:eastAsia="仿宋"/>
                <w:color w:val="000000"/>
                <w:kern w:val="0"/>
                <w:sz w:val="24"/>
                <w:szCs w:val="24"/>
                <w:lang w:bidi="ar"/>
              </w:rPr>
            </w:pPr>
          </w:p>
        </w:tc>
      </w:tr>
      <w:tr w14:paraId="621C959D">
        <w:tblPrEx>
          <w:tblCellMar>
            <w:top w:w="0" w:type="dxa"/>
            <w:left w:w="108" w:type="dxa"/>
            <w:bottom w:w="0" w:type="dxa"/>
            <w:right w:w="108" w:type="dxa"/>
          </w:tblCellMar>
        </w:tblPrEx>
        <w:trPr>
          <w:trHeight w:val="28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6F53">
            <w:pPr>
              <w:widowControl/>
              <w:jc w:val="center"/>
              <w:textAlignment w:val="center"/>
              <w:rPr>
                <w:rFonts w:eastAsia="仿宋"/>
                <w:color w:val="000000"/>
                <w:kern w:val="0"/>
                <w:sz w:val="24"/>
                <w:szCs w:val="24"/>
                <w:lang w:bidi="ar"/>
              </w:rPr>
            </w:pPr>
            <w:r>
              <w:rPr>
                <w:rFonts w:eastAsia="仿宋"/>
                <w:color w:val="000000"/>
                <w:kern w:val="0"/>
                <w:sz w:val="24"/>
                <w:szCs w:val="24"/>
                <w:lang w:bidi="ar"/>
              </w:rPr>
              <w:t>8</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9DB2">
            <w:pPr>
              <w:widowControl/>
              <w:jc w:val="center"/>
              <w:textAlignment w:val="center"/>
              <w:rPr>
                <w:rFonts w:eastAsia="仿宋"/>
                <w:color w:val="000000"/>
                <w:kern w:val="0"/>
                <w:sz w:val="24"/>
                <w:szCs w:val="24"/>
                <w:lang w:bidi="ar"/>
              </w:rPr>
            </w:pPr>
            <w:r>
              <w:rPr>
                <w:rFonts w:eastAsia="仿宋"/>
                <w:color w:val="000000"/>
                <w:kern w:val="0"/>
                <w:sz w:val="24"/>
                <w:szCs w:val="24"/>
                <w:lang w:bidi="ar"/>
              </w:rPr>
              <w:t>综治网格化服务费用</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6A280">
            <w:pPr>
              <w:widowControl/>
              <w:jc w:val="center"/>
              <w:textAlignment w:val="center"/>
              <w:rPr>
                <w:rFonts w:eastAsia="宋体"/>
                <w:color w:val="000000"/>
                <w:sz w:val="22"/>
                <w:szCs w:val="22"/>
              </w:rPr>
            </w:pPr>
            <w:r>
              <w:rPr>
                <w:rFonts w:eastAsia="宋体"/>
                <w:color w:val="000000"/>
                <w:kern w:val="0"/>
                <w:sz w:val="22"/>
                <w:szCs w:val="22"/>
                <w:lang w:bidi="ar"/>
              </w:rPr>
              <w:t>5.37</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F0B2">
            <w:pPr>
              <w:widowControl/>
              <w:jc w:val="center"/>
              <w:textAlignment w:val="center"/>
              <w:rPr>
                <w:rFonts w:eastAsia="仿宋"/>
                <w:color w:val="000000"/>
                <w:kern w:val="0"/>
                <w:sz w:val="24"/>
                <w:szCs w:val="24"/>
                <w:lang w:bidi="ar"/>
              </w:rPr>
            </w:pPr>
          </w:p>
        </w:tc>
      </w:tr>
      <w:tr w14:paraId="76E9C866">
        <w:tblPrEx>
          <w:tblCellMar>
            <w:top w:w="0" w:type="dxa"/>
            <w:left w:w="108" w:type="dxa"/>
            <w:bottom w:w="0" w:type="dxa"/>
            <w:right w:w="108" w:type="dxa"/>
          </w:tblCellMar>
        </w:tblPrEx>
        <w:trPr>
          <w:trHeight w:val="9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8B91B">
            <w:pPr>
              <w:widowControl/>
              <w:jc w:val="center"/>
              <w:textAlignment w:val="center"/>
              <w:rPr>
                <w:rFonts w:eastAsia="仿宋"/>
                <w:color w:val="000000"/>
                <w:kern w:val="0"/>
                <w:sz w:val="24"/>
                <w:szCs w:val="24"/>
                <w:lang w:bidi="ar"/>
              </w:rPr>
            </w:pPr>
            <w:r>
              <w:rPr>
                <w:rFonts w:eastAsia="仿宋"/>
                <w:color w:val="000000"/>
                <w:kern w:val="0"/>
                <w:sz w:val="24"/>
                <w:szCs w:val="24"/>
                <w:lang w:bidi="ar"/>
              </w:rPr>
              <w:t>9</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8B7DC">
            <w:pPr>
              <w:widowControl/>
              <w:jc w:val="center"/>
              <w:textAlignment w:val="center"/>
              <w:rPr>
                <w:rFonts w:eastAsia="仿宋"/>
                <w:color w:val="000000"/>
                <w:kern w:val="0"/>
                <w:sz w:val="24"/>
                <w:szCs w:val="24"/>
                <w:lang w:bidi="ar"/>
              </w:rPr>
            </w:pPr>
            <w:r>
              <w:rPr>
                <w:rFonts w:eastAsia="仿宋"/>
                <w:color w:val="000000"/>
                <w:kern w:val="0"/>
                <w:sz w:val="24"/>
                <w:szCs w:val="24"/>
                <w:lang w:bidi="ar"/>
              </w:rPr>
              <w:t>长沙楚印源文化传播有限公司</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5E962">
            <w:pPr>
              <w:widowControl/>
              <w:jc w:val="center"/>
              <w:textAlignment w:val="center"/>
              <w:rPr>
                <w:rFonts w:eastAsia="宋体"/>
                <w:color w:val="000000"/>
                <w:kern w:val="0"/>
                <w:sz w:val="22"/>
                <w:szCs w:val="22"/>
                <w:lang w:bidi="ar"/>
              </w:rPr>
            </w:pPr>
            <w:r>
              <w:rPr>
                <w:rFonts w:eastAsia="宋体"/>
                <w:color w:val="000000"/>
                <w:kern w:val="0"/>
                <w:sz w:val="22"/>
                <w:szCs w:val="22"/>
                <w:lang w:bidi="ar"/>
              </w:rPr>
              <w:t>0.2</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F1DD7">
            <w:pPr>
              <w:widowControl/>
              <w:jc w:val="center"/>
              <w:textAlignment w:val="center"/>
              <w:rPr>
                <w:rFonts w:eastAsia="宋体"/>
                <w:color w:val="000000"/>
                <w:kern w:val="0"/>
                <w:sz w:val="22"/>
                <w:szCs w:val="22"/>
                <w:lang w:bidi="ar"/>
              </w:rPr>
            </w:pPr>
            <w:r>
              <w:rPr>
                <w:rFonts w:eastAsia="宋体"/>
                <w:color w:val="000000"/>
                <w:kern w:val="0"/>
                <w:sz w:val="22"/>
                <w:szCs w:val="22"/>
                <w:lang w:bidi="ar"/>
              </w:rPr>
              <w:t>非</w:t>
            </w:r>
            <w:r>
              <w:rPr>
                <w:rFonts w:hint="eastAsia" w:eastAsia="宋体"/>
                <w:color w:val="000000"/>
                <w:kern w:val="0"/>
                <w:sz w:val="22"/>
                <w:szCs w:val="22"/>
                <w:lang w:bidi="ar"/>
              </w:rPr>
              <w:t>本专项</w:t>
            </w:r>
            <w:r>
              <w:rPr>
                <w:rFonts w:eastAsia="宋体"/>
                <w:color w:val="000000"/>
                <w:kern w:val="0"/>
                <w:sz w:val="22"/>
                <w:szCs w:val="22"/>
                <w:lang w:bidi="ar"/>
              </w:rPr>
              <w:t>建</w:t>
            </w:r>
            <w:r>
              <w:rPr>
                <w:rFonts w:eastAsia="宋体"/>
                <w:color w:val="000000"/>
                <w:kern w:val="0"/>
                <w:sz w:val="22"/>
                <w:szCs w:val="22"/>
                <w:lang w:bidi="ar"/>
              </w:rPr>
              <w:br w:type="textWrapping"/>
            </w:r>
            <w:r>
              <w:rPr>
                <w:rFonts w:eastAsia="宋体"/>
                <w:color w:val="000000"/>
                <w:kern w:val="0"/>
                <w:sz w:val="22"/>
                <w:szCs w:val="22"/>
                <w:lang w:bidi="ar"/>
              </w:rPr>
              <w:t>设内容支出</w:t>
            </w:r>
          </w:p>
        </w:tc>
      </w:tr>
      <w:tr w14:paraId="47B819C3">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578AC">
            <w:pPr>
              <w:widowControl/>
              <w:jc w:val="center"/>
              <w:textAlignment w:val="center"/>
              <w:rPr>
                <w:rFonts w:eastAsia="仿宋"/>
                <w:b/>
                <w:bCs/>
                <w:color w:val="000000"/>
                <w:kern w:val="0"/>
                <w:sz w:val="24"/>
                <w:szCs w:val="24"/>
                <w:lang w:bidi="ar"/>
              </w:rPr>
            </w:pPr>
            <w:r>
              <w:rPr>
                <w:rFonts w:eastAsia="仿宋"/>
                <w:b/>
                <w:bCs/>
                <w:color w:val="000000"/>
                <w:kern w:val="0"/>
                <w:sz w:val="24"/>
                <w:szCs w:val="24"/>
                <w:lang w:bidi="ar"/>
              </w:rPr>
              <w:t>小计</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99180">
            <w:pPr>
              <w:widowControl/>
              <w:jc w:val="center"/>
              <w:textAlignment w:val="center"/>
              <w:rPr>
                <w:rFonts w:eastAsia="仿宋"/>
                <w:b/>
                <w:bCs/>
                <w:color w:val="000000"/>
                <w:kern w:val="0"/>
                <w:sz w:val="24"/>
                <w:szCs w:val="24"/>
                <w:lang w:bidi="ar"/>
              </w:rPr>
            </w:pPr>
            <w:r>
              <w:rPr>
                <w:rFonts w:eastAsia="仿宋"/>
                <w:b/>
                <w:bCs/>
                <w:color w:val="000000"/>
                <w:kern w:val="0"/>
                <w:sz w:val="24"/>
                <w:szCs w:val="24"/>
                <w:lang w:bidi="ar"/>
              </w:rPr>
              <w:t>-</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0D85">
            <w:pPr>
              <w:widowControl/>
              <w:jc w:val="center"/>
              <w:textAlignment w:val="center"/>
              <w:rPr>
                <w:rFonts w:eastAsia="宋体"/>
                <w:b/>
                <w:bCs/>
                <w:color w:val="000000"/>
                <w:kern w:val="0"/>
                <w:sz w:val="22"/>
                <w:szCs w:val="22"/>
                <w:lang w:bidi="ar"/>
              </w:rPr>
            </w:pPr>
            <w:r>
              <w:rPr>
                <w:rFonts w:eastAsia="宋体"/>
                <w:b/>
                <w:bCs/>
                <w:color w:val="000000"/>
                <w:kern w:val="0"/>
                <w:sz w:val="22"/>
                <w:szCs w:val="22"/>
                <w:lang w:bidi="ar"/>
              </w:rPr>
              <w:t>1221.51</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37713">
            <w:pPr>
              <w:widowControl/>
              <w:jc w:val="center"/>
              <w:textAlignment w:val="center"/>
              <w:rPr>
                <w:rFonts w:eastAsia="仿宋"/>
                <w:b/>
                <w:bCs/>
                <w:color w:val="000000"/>
                <w:kern w:val="0"/>
                <w:sz w:val="24"/>
                <w:szCs w:val="24"/>
                <w:lang w:bidi="ar"/>
              </w:rPr>
            </w:pPr>
          </w:p>
        </w:tc>
      </w:tr>
      <w:tr w14:paraId="34C10A5B">
        <w:tblPrEx>
          <w:tblCellMar>
            <w:top w:w="0" w:type="dxa"/>
            <w:left w:w="108" w:type="dxa"/>
            <w:bottom w:w="0" w:type="dxa"/>
            <w:right w:w="108" w:type="dxa"/>
          </w:tblCellMar>
        </w:tblPrEx>
        <w:trPr>
          <w:trHeight w:val="430" w:hRule="atLeast"/>
          <w:jc w:val="center"/>
        </w:trPr>
        <w:tc>
          <w:tcPr>
            <w:tcW w:w="86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CDF9C">
            <w:pPr>
              <w:widowControl/>
              <w:jc w:val="center"/>
              <w:textAlignment w:val="center"/>
              <w:rPr>
                <w:rFonts w:eastAsia="仿宋"/>
                <w:b/>
                <w:bCs/>
                <w:color w:val="000000"/>
                <w:kern w:val="0"/>
                <w:sz w:val="24"/>
                <w:szCs w:val="24"/>
                <w:lang w:bidi="ar"/>
              </w:rPr>
            </w:pPr>
            <w:r>
              <w:rPr>
                <w:rFonts w:eastAsia="仿宋"/>
                <w:b/>
                <w:bCs/>
                <w:color w:val="000000"/>
                <w:kern w:val="0"/>
                <w:sz w:val="28"/>
                <w:szCs w:val="28"/>
                <w:lang w:bidi="ar"/>
              </w:rPr>
              <w:t>2022年</w:t>
            </w:r>
            <w:r>
              <w:rPr>
                <w:rFonts w:hint="eastAsia" w:eastAsia="仿宋"/>
                <w:b/>
                <w:bCs/>
                <w:color w:val="000000"/>
                <w:kern w:val="0"/>
                <w:sz w:val="28"/>
                <w:szCs w:val="28"/>
                <w:lang w:bidi="ar"/>
              </w:rPr>
              <w:t>专项</w:t>
            </w:r>
            <w:r>
              <w:rPr>
                <w:rFonts w:eastAsia="仿宋"/>
                <w:b/>
                <w:bCs/>
                <w:color w:val="000000"/>
                <w:kern w:val="0"/>
                <w:sz w:val="28"/>
                <w:szCs w:val="28"/>
                <w:lang w:bidi="ar"/>
              </w:rPr>
              <w:t>资金支出情况（截止7月20日）</w:t>
            </w:r>
          </w:p>
        </w:tc>
      </w:tr>
      <w:tr w14:paraId="00140912">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A17DA">
            <w:pPr>
              <w:widowControl/>
              <w:jc w:val="center"/>
              <w:textAlignment w:val="center"/>
              <w:rPr>
                <w:rFonts w:eastAsia="仿宋"/>
                <w:color w:val="000000"/>
                <w:kern w:val="0"/>
                <w:sz w:val="24"/>
                <w:szCs w:val="24"/>
                <w:lang w:bidi="ar"/>
              </w:rPr>
            </w:pPr>
            <w:r>
              <w:rPr>
                <w:rFonts w:eastAsia="仿宋"/>
                <w:color w:val="000000"/>
                <w:kern w:val="0"/>
                <w:sz w:val="24"/>
                <w:szCs w:val="24"/>
                <w:lang w:bidi="ar"/>
              </w:rPr>
              <w:t>10</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02658">
            <w:pPr>
              <w:widowControl/>
              <w:jc w:val="center"/>
              <w:textAlignment w:val="center"/>
              <w:rPr>
                <w:rFonts w:eastAsia="仿宋"/>
                <w:color w:val="000000"/>
                <w:kern w:val="0"/>
                <w:sz w:val="24"/>
                <w:szCs w:val="24"/>
                <w:lang w:bidi="ar"/>
              </w:rPr>
            </w:pPr>
            <w:r>
              <w:rPr>
                <w:rFonts w:eastAsia="仿宋"/>
                <w:color w:val="000000"/>
                <w:kern w:val="0"/>
                <w:sz w:val="24"/>
                <w:szCs w:val="24"/>
                <w:lang w:bidi="ar"/>
              </w:rPr>
              <w:t>监理费余款</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58918">
            <w:pPr>
              <w:widowControl/>
              <w:jc w:val="center"/>
              <w:textAlignment w:val="center"/>
              <w:rPr>
                <w:rFonts w:eastAsia="仿宋"/>
                <w:color w:val="000000"/>
                <w:kern w:val="0"/>
                <w:sz w:val="24"/>
                <w:szCs w:val="24"/>
                <w:lang w:bidi="ar"/>
              </w:rPr>
            </w:pPr>
            <w:r>
              <w:rPr>
                <w:rFonts w:eastAsia="宋体"/>
                <w:color w:val="000000"/>
                <w:kern w:val="0"/>
                <w:sz w:val="22"/>
                <w:szCs w:val="22"/>
                <w:lang w:bidi="ar"/>
              </w:rPr>
              <w:t>5.72</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AECD4">
            <w:pPr>
              <w:widowControl/>
              <w:jc w:val="center"/>
              <w:textAlignment w:val="center"/>
              <w:rPr>
                <w:rFonts w:eastAsia="仿宋"/>
                <w:b/>
                <w:bCs/>
                <w:color w:val="000000"/>
                <w:kern w:val="0"/>
                <w:sz w:val="24"/>
                <w:szCs w:val="24"/>
                <w:lang w:bidi="ar"/>
              </w:rPr>
            </w:pPr>
          </w:p>
        </w:tc>
      </w:tr>
      <w:tr w14:paraId="4624A5C7">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35EA8">
            <w:pPr>
              <w:widowControl/>
              <w:jc w:val="center"/>
              <w:textAlignment w:val="center"/>
              <w:rPr>
                <w:rFonts w:eastAsia="仿宋"/>
                <w:b/>
                <w:bCs/>
                <w:color w:val="000000"/>
                <w:kern w:val="0"/>
                <w:sz w:val="24"/>
                <w:szCs w:val="24"/>
                <w:lang w:bidi="ar"/>
              </w:rPr>
            </w:pPr>
            <w:r>
              <w:rPr>
                <w:rFonts w:eastAsia="仿宋"/>
                <w:b/>
                <w:bCs/>
                <w:color w:val="000000"/>
                <w:kern w:val="0"/>
                <w:sz w:val="24"/>
                <w:szCs w:val="24"/>
                <w:lang w:bidi="ar"/>
              </w:rPr>
              <w:t>小计</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BB4E0">
            <w:pPr>
              <w:widowControl/>
              <w:jc w:val="center"/>
              <w:textAlignment w:val="center"/>
              <w:rPr>
                <w:rFonts w:eastAsia="仿宋"/>
                <w:color w:val="000000"/>
                <w:kern w:val="0"/>
                <w:sz w:val="24"/>
                <w:szCs w:val="24"/>
                <w:lang w:bidi="ar"/>
              </w:rPr>
            </w:pPr>
            <w:r>
              <w:rPr>
                <w:rFonts w:eastAsia="仿宋"/>
                <w:color w:val="000000"/>
                <w:kern w:val="0"/>
                <w:sz w:val="24"/>
                <w:szCs w:val="24"/>
                <w:lang w:bidi="ar"/>
              </w:rPr>
              <w:t>-</w:t>
            </w: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FCDF">
            <w:pPr>
              <w:widowControl/>
              <w:jc w:val="center"/>
              <w:textAlignment w:val="center"/>
              <w:rPr>
                <w:rFonts w:eastAsia="仿宋"/>
                <w:color w:val="000000"/>
                <w:kern w:val="0"/>
                <w:sz w:val="24"/>
                <w:szCs w:val="24"/>
                <w:lang w:bidi="ar"/>
              </w:rPr>
            </w:pPr>
            <w:r>
              <w:rPr>
                <w:rFonts w:eastAsia="仿宋"/>
                <w:color w:val="000000"/>
                <w:kern w:val="0"/>
                <w:sz w:val="24"/>
                <w:szCs w:val="24"/>
                <w:lang w:bidi="ar"/>
              </w:rPr>
              <w:t>5.72</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069B">
            <w:pPr>
              <w:widowControl/>
              <w:jc w:val="center"/>
              <w:textAlignment w:val="center"/>
              <w:rPr>
                <w:rFonts w:eastAsia="仿宋"/>
                <w:b/>
                <w:bCs/>
                <w:color w:val="000000"/>
                <w:kern w:val="0"/>
                <w:sz w:val="24"/>
                <w:szCs w:val="24"/>
                <w:lang w:bidi="ar"/>
              </w:rPr>
            </w:pPr>
          </w:p>
        </w:tc>
      </w:tr>
      <w:tr w14:paraId="5F005670">
        <w:tblPrEx>
          <w:tblCellMar>
            <w:top w:w="0" w:type="dxa"/>
            <w:left w:w="108" w:type="dxa"/>
            <w:bottom w:w="0" w:type="dxa"/>
            <w:right w:w="108" w:type="dxa"/>
          </w:tblCellMar>
        </w:tblPrEx>
        <w:trPr>
          <w:trHeight w:val="4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AEA17">
            <w:pPr>
              <w:widowControl/>
              <w:jc w:val="center"/>
              <w:textAlignment w:val="center"/>
              <w:rPr>
                <w:rFonts w:eastAsia="仿宋"/>
                <w:b/>
                <w:bCs/>
                <w:color w:val="000000"/>
                <w:kern w:val="0"/>
                <w:sz w:val="24"/>
                <w:szCs w:val="24"/>
                <w:lang w:bidi="ar"/>
              </w:rPr>
            </w:pPr>
            <w:r>
              <w:rPr>
                <w:rFonts w:eastAsia="仿宋"/>
                <w:b/>
                <w:bCs/>
                <w:color w:val="000000"/>
                <w:kern w:val="0"/>
                <w:sz w:val="24"/>
                <w:szCs w:val="24"/>
                <w:lang w:bidi="ar"/>
              </w:rPr>
              <w:t>总计</w:t>
            </w:r>
          </w:p>
        </w:tc>
        <w:tc>
          <w:tcPr>
            <w:tcW w:w="3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BED97">
            <w:pPr>
              <w:widowControl/>
              <w:jc w:val="center"/>
              <w:textAlignment w:val="center"/>
              <w:rPr>
                <w:rFonts w:eastAsia="仿宋"/>
                <w:b/>
                <w:bCs/>
                <w:color w:val="000000"/>
                <w:kern w:val="0"/>
                <w:sz w:val="24"/>
                <w:szCs w:val="24"/>
                <w:lang w:bidi="ar"/>
              </w:rPr>
            </w:pPr>
          </w:p>
        </w:tc>
        <w:tc>
          <w:tcPr>
            <w:tcW w:w="2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EDC80">
            <w:pPr>
              <w:widowControl/>
              <w:jc w:val="center"/>
              <w:textAlignment w:val="center"/>
              <w:rPr>
                <w:rFonts w:eastAsia="仿宋"/>
                <w:b/>
                <w:bCs/>
                <w:color w:val="000000"/>
                <w:kern w:val="0"/>
                <w:sz w:val="24"/>
                <w:szCs w:val="24"/>
                <w:lang w:bidi="ar"/>
              </w:rPr>
            </w:pPr>
            <w:r>
              <w:rPr>
                <w:rFonts w:eastAsia="仿宋"/>
                <w:b/>
                <w:bCs/>
                <w:color w:val="000000"/>
                <w:kern w:val="0"/>
                <w:sz w:val="24"/>
                <w:szCs w:val="24"/>
                <w:lang w:bidi="ar"/>
              </w:rPr>
              <w:t>1261.42</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8F3E0">
            <w:pPr>
              <w:widowControl/>
              <w:jc w:val="center"/>
              <w:textAlignment w:val="center"/>
              <w:rPr>
                <w:rFonts w:eastAsia="仿宋"/>
                <w:b/>
                <w:bCs/>
                <w:color w:val="000000"/>
                <w:kern w:val="0"/>
                <w:sz w:val="24"/>
                <w:szCs w:val="24"/>
                <w:lang w:bidi="ar"/>
              </w:rPr>
            </w:pPr>
          </w:p>
        </w:tc>
      </w:tr>
    </w:tbl>
    <w:p w14:paraId="16077401">
      <w:pPr>
        <w:spacing w:line="600" w:lineRule="exact"/>
        <w:ind w:left="636" w:leftChars="212"/>
        <w:outlineLvl w:val="1"/>
        <w:rPr>
          <w:sz w:val="32"/>
          <w:szCs w:val="32"/>
        </w:rPr>
      </w:pPr>
      <w:r>
        <w:rPr>
          <w:rFonts w:eastAsia="楷体_GB2312"/>
          <w:b/>
          <w:sz w:val="32"/>
          <w:szCs w:val="32"/>
        </w:rPr>
        <w:t>（</w:t>
      </w:r>
      <w:r>
        <w:rPr>
          <w:rFonts w:hint="eastAsia" w:eastAsia="楷体_GB2312"/>
          <w:b/>
          <w:sz w:val="32"/>
          <w:szCs w:val="32"/>
        </w:rPr>
        <w:t>三</w:t>
      </w:r>
      <w:r>
        <w:rPr>
          <w:rFonts w:eastAsia="楷体_GB2312"/>
          <w:b/>
          <w:sz w:val="32"/>
          <w:szCs w:val="32"/>
        </w:rPr>
        <w:t>）</w:t>
      </w:r>
      <w:r>
        <w:rPr>
          <w:rFonts w:hint="eastAsia" w:eastAsia="楷体_GB2312"/>
          <w:b/>
          <w:sz w:val="32"/>
          <w:szCs w:val="32"/>
        </w:rPr>
        <w:t>专项</w:t>
      </w:r>
      <w:r>
        <w:rPr>
          <w:rFonts w:eastAsia="楷体_GB2312"/>
          <w:b/>
          <w:sz w:val="32"/>
          <w:szCs w:val="32"/>
        </w:rPr>
        <w:t>资金</w:t>
      </w:r>
      <w:r>
        <w:rPr>
          <w:rFonts w:hint="eastAsia" w:eastAsia="楷体_GB2312"/>
          <w:b/>
          <w:sz w:val="32"/>
          <w:szCs w:val="32"/>
        </w:rPr>
        <w:t>实施</w:t>
      </w:r>
      <w:r>
        <w:rPr>
          <w:rFonts w:eastAsia="楷体_GB2312"/>
          <w:b/>
          <w:sz w:val="32"/>
          <w:szCs w:val="32"/>
        </w:rPr>
        <w:t>管理情况</w:t>
      </w:r>
      <w:r>
        <w:rPr>
          <w:rFonts w:eastAsia="楷体_GB2312"/>
          <w:b/>
          <w:sz w:val="32"/>
          <w:szCs w:val="32"/>
        </w:rPr>
        <w:br w:type="textWrapping"/>
      </w:r>
      <w:r>
        <w:rPr>
          <w:rFonts w:hint="eastAsia"/>
          <w:b/>
          <w:bCs/>
          <w:sz w:val="32"/>
          <w:szCs w:val="32"/>
        </w:rPr>
        <w:t>1.专项资金管理情况</w:t>
      </w:r>
    </w:p>
    <w:p w14:paraId="35CDF102">
      <w:pPr>
        <w:spacing w:line="560" w:lineRule="exact"/>
        <w:ind w:firstLine="640" w:firstLineChars="200"/>
        <w:rPr>
          <w:sz w:val="32"/>
          <w:szCs w:val="32"/>
        </w:rPr>
      </w:pPr>
      <w:r>
        <w:rPr>
          <w:rFonts w:hint="eastAsia"/>
          <w:sz w:val="32"/>
          <w:szCs w:val="32"/>
          <w:lang w:eastAsia="zh-CN"/>
        </w:rPr>
        <w:t>市委政法委</w:t>
      </w:r>
      <w:r>
        <w:rPr>
          <w:rFonts w:hint="eastAsia"/>
          <w:sz w:val="32"/>
          <w:szCs w:val="32"/>
        </w:rPr>
        <w:t>未针对本专项制定专项资金管理办法，专项资金使用参照《邵阳市委政法委财务收支管理办法》执行。预算支出管理遵循“无预算不支出”、“归口管理”、“分事行权”原则，综合运用预算额度、授权审批、定额标准、程序管控、单据控制等手段，保证各项经济活动支出依法依规开展。</w:t>
      </w:r>
    </w:p>
    <w:p w14:paraId="22D6CE9F">
      <w:pPr>
        <w:spacing w:line="560" w:lineRule="exact"/>
        <w:ind w:firstLine="640" w:firstLineChars="200"/>
        <w:rPr>
          <w:sz w:val="32"/>
          <w:szCs w:val="32"/>
        </w:rPr>
      </w:pPr>
      <w:r>
        <w:rPr>
          <w:rFonts w:hint="eastAsia"/>
          <w:sz w:val="32"/>
          <w:szCs w:val="32"/>
        </w:rPr>
        <w:t>经评价组现场核查，</w:t>
      </w:r>
      <w:r>
        <w:rPr>
          <w:rFonts w:hint="eastAsia"/>
          <w:sz w:val="32"/>
          <w:szCs w:val="32"/>
          <w:lang w:eastAsia="zh-CN"/>
        </w:rPr>
        <w:t>市委政法委</w:t>
      </w:r>
      <w:r>
        <w:rPr>
          <w:rFonts w:hint="eastAsia"/>
          <w:sz w:val="32"/>
          <w:szCs w:val="32"/>
        </w:rPr>
        <w:t>专项资金整体管理情况良好，但少量专项资金存在挤占、挪用、混用指标等问题。</w:t>
      </w:r>
    </w:p>
    <w:p w14:paraId="2A8F2AE1">
      <w:pPr>
        <w:spacing w:line="600" w:lineRule="exact"/>
        <w:ind w:firstLine="643" w:firstLineChars="200"/>
        <w:rPr>
          <w:b/>
          <w:bCs/>
          <w:sz w:val="32"/>
          <w:szCs w:val="32"/>
        </w:rPr>
      </w:pPr>
      <w:r>
        <w:rPr>
          <w:rFonts w:hint="eastAsia"/>
          <w:b/>
          <w:bCs/>
          <w:sz w:val="32"/>
          <w:szCs w:val="32"/>
        </w:rPr>
        <w:t>2.项目组织实施情况</w:t>
      </w:r>
    </w:p>
    <w:p w14:paraId="14159D59">
      <w:pPr>
        <w:spacing w:line="560" w:lineRule="exact"/>
        <w:ind w:firstLine="640" w:firstLineChars="200"/>
        <w:rPr>
          <w:sz w:val="32"/>
          <w:szCs w:val="32"/>
        </w:rPr>
      </w:pPr>
      <w:r>
        <w:rPr>
          <w:rFonts w:hint="eastAsia"/>
          <w:sz w:val="32"/>
          <w:szCs w:val="32"/>
        </w:rPr>
        <w:t>2020年7月21日，</w:t>
      </w:r>
      <w:r>
        <w:rPr>
          <w:rFonts w:hint="eastAsia"/>
          <w:sz w:val="32"/>
          <w:szCs w:val="32"/>
          <w:lang w:eastAsia="zh-CN"/>
        </w:rPr>
        <w:t>市委政法委</w:t>
      </w:r>
      <w:r>
        <w:rPr>
          <w:rFonts w:hint="eastAsia"/>
          <w:sz w:val="32"/>
          <w:szCs w:val="32"/>
        </w:rPr>
        <w:t>与广东省电信规划设计院有限公司签订《技术咨询服务合同》，10月26日与湖南天道信息技术咨询有限公司（以下简称监理公司）签订《信息系统工程监理政府采购合同》，2021年1月，</w:t>
      </w:r>
      <w:r>
        <w:rPr>
          <w:rFonts w:hint="eastAsia"/>
          <w:sz w:val="32"/>
          <w:szCs w:val="32"/>
          <w:lang w:eastAsia="zh-CN"/>
        </w:rPr>
        <w:t>市委政法委</w:t>
      </w:r>
      <w:r>
        <w:rPr>
          <w:rFonts w:hint="eastAsia"/>
          <w:sz w:val="32"/>
          <w:szCs w:val="32"/>
        </w:rPr>
        <w:t>对本专项进行公开招标公告，2月由中国电信股份有限公司邵阳分公司（以下简称电信公司）中标并进行网上公示，中标金额为1230.97万元。同时于3月5日，与电信公司签订了《邵阳市社会治理创新开放共享总平台政府采购合同协议书》。8月6日签订补充合同书，变更部分项目内容，新增资费11.9万元。</w:t>
      </w:r>
    </w:p>
    <w:p w14:paraId="0E965969">
      <w:pPr>
        <w:spacing w:line="560" w:lineRule="exact"/>
        <w:ind w:firstLine="640" w:firstLineChars="200"/>
        <w:rPr>
          <w:sz w:val="32"/>
          <w:szCs w:val="32"/>
        </w:rPr>
      </w:pPr>
      <w:r>
        <w:rPr>
          <w:rFonts w:hint="eastAsia"/>
          <w:sz w:val="32"/>
          <w:szCs w:val="32"/>
        </w:rPr>
        <w:t xml:space="preserve"> 2021年5月，本专项完成设备安装调试，平台软件功能基本实现。8月、11月</w:t>
      </w:r>
      <w:r>
        <w:rPr>
          <w:rFonts w:hint="eastAsia"/>
          <w:sz w:val="32"/>
          <w:szCs w:val="32"/>
          <w:lang w:eastAsia="zh-CN"/>
        </w:rPr>
        <w:t>市委政法委</w:t>
      </w:r>
      <w:r>
        <w:rPr>
          <w:rFonts w:hint="eastAsia"/>
          <w:sz w:val="32"/>
          <w:szCs w:val="32"/>
        </w:rPr>
        <w:t>与监理公司分别对总平台进行了初验收和终验收，验收结果为合格，但验收发现有遗留问题。截止绩效评价日，验收中发现的遗留问题仍有2个未解决，且初验收报告中无验收组成员签字。</w:t>
      </w:r>
    </w:p>
    <w:p w14:paraId="431AF367">
      <w:pPr>
        <w:spacing w:line="560" w:lineRule="exact"/>
        <w:ind w:firstLine="640" w:firstLineChars="200"/>
        <w:rPr>
          <w:sz w:val="32"/>
          <w:szCs w:val="32"/>
        </w:rPr>
      </w:pPr>
      <w:r>
        <w:rPr>
          <w:rFonts w:hint="eastAsia"/>
          <w:sz w:val="32"/>
          <w:szCs w:val="32"/>
        </w:rPr>
        <w:t>本专项建设完成后，由</w:t>
      </w:r>
      <w:r>
        <w:rPr>
          <w:rFonts w:hint="eastAsia"/>
          <w:sz w:val="32"/>
          <w:szCs w:val="32"/>
          <w:lang w:eastAsia="zh-CN"/>
        </w:rPr>
        <w:t>市委政法委</w:t>
      </w:r>
      <w:r>
        <w:rPr>
          <w:rFonts w:hint="eastAsia"/>
          <w:sz w:val="32"/>
          <w:szCs w:val="32"/>
        </w:rPr>
        <w:t>二级单位邵阳市社会治安综合治理中心（以下简称综治中心）进行监管和运行。本专项建设完成后</w:t>
      </w:r>
      <w:r>
        <w:rPr>
          <w:rFonts w:hint="eastAsia"/>
          <w:sz w:val="32"/>
          <w:szCs w:val="32"/>
          <w:lang w:eastAsia="zh-CN"/>
        </w:rPr>
        <w:t>市委政法委</w:t>
      </w:r>
      <w:r>
        <w:rPr>
          <w:rFonts w:hint="eastAsia"/>
          <w:sz w:val="32"/>
          <w:szCs w:val="32"/>
        </w:rPr>
        <w:t>未将相关硬件设备、系统等转入固定资产或无形资产，尚未在资产管理系统中上报。</w:t>
      </w:r>
    </w:p>
    <w:p w14:paraId="4AC146BA">
      <w:pPr>
        <w:spacing w:line="600" w:lineRule="exact"/>
        <w:ind w:left="636" w:leftChars="212"/>
        <w:outlineLvl w:val="0"/>
      </w:pPr>
      <w:bookmarkStart w:id="3" w:name="_Toc16926"/>
      <w:r>
        <w:rPr>
          <w:rFonts w:hint="eastAsia" w:ascii="黑体" w:hAnsi="黑体" w:eastAsia="黑体" w:cs="黑体"/>
          <w:b/>
          <w:sz w:val="32"/>
          <w:szCs w:val="32"/>
        </w:rPr>
        <w:t>二、专项资金绩效目标</w:t>
      </w:r>
      <w:r>
        <w:rPr>
          <w:rFonts w:hint="eastAsia" w:ascii="黑体" w:hAnsi="黑体" w:eastAsia="黑体" w:cs="黑体"/>
          <w:b/>
          <w:sz w:val="32"/>
          <w:szCs w:val="32"/>
          <w:lang w:val="en-US" w:eastAsia="zh-CN"/>
        </w:rPr>
        <w:t>及</w:t>
      </w:r>
      <w:r>
        <w:rPr>
          <w:rFonts w:hint="eastAsia" w:ascii="黑体" w:hAnsi="黑体" w:eastAsia="黑体" w:cs="黑体"/>
          <w:b/>
          <w:sz w:val="32"/>
          <w:szCs w:val="32"/>
        </w:rPr>
        <w:t>完成情况</w:t>
      </w:r>
      <w:r>
        <w:rPr>
          <w:rFonts w:eastAsia="楷体_GB2312"/>
          <w:b/>
          <w:sz w:val="32"/>
          <w:szCs w:val="32"/>
        </w:rPr>
        <w:br w:type="textWrapping"/>
      </w:r>
      <w:r>
        <w:rPr>
          <w:rFonts w:hint="eastAsia" w:eastAsia="楷体_GB2312"/>
          <w:b/>
          <w:sz w:val="32"/>
          <w:szCs w:val="32"/>
          <w:lang w:eastAsia="zh-CN"/>
        </w:rPr>
        <w:t>（</w:t>
      </w:r>
      <w:r>
        <w:rPr>
          <w:rFonts w:hint="eastAsia" w:eastAsia="楷体_GB2312"/>
          <w:b/>
          <w:sz w:val="32"/>
          <w:szCs w:val="32"/>
          <w:lang w:val="en-US" w:eastAsia="zh-CN"/>
        </w:rPr>
        <w:t>一</w:t>
      </w:r>
      <w:r>
        <w:rPr>
          <w:rFonts w:hint="eastAsia" w:eastAsia="楷体_GB2312"/>
          <w:b/>
          <w:sz w:val="32"/>
          <w:szCs w:val="32"/>
          <w:lang w:eastAsia="zh-CN"/>
        </w:rPr>
        <w:t>）</w:t>
      </w:r>
      <w:r>
        <w:rPr>
          <w:rFonts w:hint="eastAsia" w:eastAsia="楷体_GB2312"/>
          <w:b/>
          <w:sz w:val="32"/>
          <w:szCs w:val="32"/>
        </w:rPr>
        <w:t>总体绩效目标</w:t>
      </w:r>
      <w:bookmarkEnd w:id="3"/>
    </w:p>
    <w:p w14:paraId="661768FD">
      <w:pPr>
        <w:spacing w:line="560" w:lineRule="exact"/>
        <w:ind w:firstLine="640" w:firstLineChars="200"/>
        <w:rPr>
          <w:sz w:val="32"/>
          <w:szCs w:val="32"/>
        </w:rPr>
      </w:pPr>
      <w:r>
        <w:rPr>
          <w:rFonts w:hint="eastAsia"/>
          <w:sz w:val="32"/>
          <w:szCs w:val="32"/>
          <w:lang w:eastAsia="zh-CN"/>
        </w:rPr>
        <w:t>市委政法委</w:t>
      </w:r>
      <w:r>
        <w:rPr>
          <w:rFonts w:hint="eastAsia"/>
          <w:sz w:val="32"/>
          <w:szCs w:val="32"/>
        </w:rPr>
        <w:t>未针对本专项设置</w:t>
      </w:r>
      <w:r>
        <w:rPr>
          <w:rFonts w:hint="eastAsia"/>
          <w:sz w:val="32"/>
          <w:szCs w:val="32"/>
          <w:lang w:val="en-US" w:eastAsia="zh-CN"/>
        </w:rPr>
        <w:t>专项资金</w:t>
      </w:r>
      <w:r>
        <w:rPr>
          <w:rFonts w:hint="eastAsia"/>
          <w:sz w:val="32"/>
          <w:szCs w:val="32"/>
        </w:rPr>
        <w:t>总体绩效目标，现根据项目实施方案和工作任务将项目总体绩效目标归纳如下：</w:t>
      </w:r>
    </w:p>
    <w:p w14:paraId="38BED5BD">
      <w:pPr>
        <w:spacing w:line="560" w:lineRule="exact"/>
        <w:ind w:firstLine="640" w:firstLineChars="200"/>
      </w:pPr>
      <w:r>
        <w:rPr>
          <w:rFonts w:hint="eastAsia"/>
          <w:sz w:val="32"/>
          <w:szCs w:val="32"/>
        </w:rPr>
        <w:t>按照构建社会治理现代化开放共享总平台工作要求，以市县乡村四级综治中心，以平安考核为抓手，结合市域社会治理现代化时点，围绕系统化、社会化、精细化、法制化、智能化开展工作，建设一个“智能感知、融合共享、智慧应用、精准服务AI+智慧治理”的邵阳市社会治理创新开放共享总平台，实现社会治理创新线上线下融合发展。同时构建以视频监控为主的城市公共安全物联网络，深化视频和图像资源智能分析，强化视频大数据挖掘和人工智能应用，推进智能分析、大数据综合应用对基层治理实战业务的深度融合和高效支撑，打造市域社会治理邵阳模式。</w:t>
      </w:r>
    </w:p>
    <w:p w14:paraId="274A5BB5">
      <w:pPr>
        <w:spacing w:line="600" w:lineRule="exact"/>
        <w:ind w:left="636" w:leftChars="212"/>
        <w:outlineLvl w:val="1"/>
        <w:rPr>
          <w:rFonts w:eastAsia="楷体_GB2312"/>
          <w:b/>
          <w:sz w:val="32"/>
          <w:szCs w:val="32"/>
        </w:rPr>
      </w:pPr>
      <w:r>
        <w:rPr>
          <w:rFonts w:hint="eastAsia" w:eastAsia="楷体_GB2312"/>
          <w:b/>
          <w:sz w:val="32"/>
          <w:szCs w:val="32"/>
          <w:lang w:eastAsia="zh-CN"/>
        </w:rPr>
        <w:t>（</w:t>
      </w:r>
      <w:r>
        <w:rPr>
          <w:rFonts w:hint="eastAsia" w:eastAsia="楷体_GB2312"/>
          <w:b/>
          <w:sz w:val="32"/>
          <w:szCs w:val="32"/>
          <w:lang w:val="en-US" w:eastAsia="zh-CN"/>
        </w:rPr>
        <w:t>二</w:t>
      </w:r>
      <w:r>
        <w:rPr>
          <w:rFonts w:hint="eastAsia" w:eastAsia="楷体_GB2312"/>
          <w:b/>
          <w:sz w:val="32"/>
          <w:szCs w:val="32"/>
          <w:lang w:eastAsia="zh-CN"/>
        </w:rPr>
        <w:t>）</w:t>
      </w:r>
      <w:r>
        <w:rPr>
          <w:rFonts w:hint="eastAsia" w:eastAsia="楷体_GB2312"/>
          <w:b/>
          <w:sz w:val="32"/>
          <w:szCs w:val="32"/>
        </w:rPr>
        <w:t>2021年度</w:t>
      </w:r>
      <w:r>
        <w:rPr>
          <w:rFonts w:hint="eastAsia" w:eastAsia="楷体_GB2312"/>
          <w:b/>
          <w:sz w:val="32"/>
          <w:szCs w:val="32"/>
          <w:lang w:val="en-US" w:eastAsia="zh-CN"/>
        </w:rPr>
        <w:t>专项资金</w:t>
      </w:r>
      <w:r>
        <w:rPr>
          <w:rFonts w:hint="eastAsia" w:eastAsia="楷体_GB2312"/>
          <w:b/>
          <w:sz w:val="32"/>
          <w:szCs w:val="32"/>
        </w:rPr>
        <w:t>具体绩效目标</w:t>
      </w:r>
    </w:p>
    <w:p w14:paraId="27724A66">
      <w:pPr>
        <w:spacing w:line="560" w:lineRule="exact"/>
        <w:ind w:firstLine="640" w:firstLineChars="200"/>
        <w:rPr>
          <w:sz w:val="32"/>
          <w:szCs w:val="32"/>
        </w:rPr>
      </w:pPr>
      <w:r>
        <w:rPr>
          <w:rFonts w:hint="eastAsia"/>
          <w:sz w:val="32"/>
          <w:szCs w:val="32"/>
          <w:lang w:eastAsia="zh-CN"/>
        </w:rPr>
        <w:t>市委政法委</w:t>
      </w:r>
      <w:r>
        <w:rPr>
          <w:rFonts w:hint="eastAsia"/>
          <w:sz w:val="32"/>
          <w:szCs w:val="32"/>
        </w:rPr>
        <w:t>未针对本专项设置年度具体绩效目标，现根据工作任务将年度具体绩效目标归纳如下：</w:t>
      </w:r>
    </w:p>
    <w:p w14:paraId="7ED94C18">
      <w:pPr>
        <w:spacing w:line="560" w:lineRule="exact"/>
        <w:ind w:firstLine="640" w:firstLineChars="200"/>
        <w:rPr>
          <w:sz w:val="32"/>
          <w:szCs w:val="32"/>
        </w:rPr>
      </w:pPr>
      <w:r>
        <w:rPr>
          <w:rFonts w:hint="eastAsia"/>
          <w:sz w:val="32"/>
          <w:szCs w:val="32"/>
        </w:rPr>
        <w:t>（1）打造市域社会治理云化资源池。实现资源灵活高效调度运用云计算和大数据技术，建设市域社会治理云化资源池，通过视图数据采集汇聚、视频图像解析、视频大数据三大能力建设提供基础资源支撑，并将应用系统向云上迁移，实现IT硬件资源负载均衡，数据中心统一运维；</w:t>
      </w:r>
    </w:p>
    <w:p w14:paraId="6AE9C73B">
      <w:pPr>
        <w:spacing w:line="560" w:lineRule="exact"/>
        <w:ind w:firstLine="640" w:firstLineChars="200"/>
        <w:rPr>
          <w:sz w:val="32"/>
          <w:szCs w:val="32"/>
        </w:rPr>
      </w:pPr>
      <w:r>
        <w:rPr>
          <w:rFonts w:hint="eastAsia"/>
          <w:sz w:val="32"/>
          <w:szCs w:val="32"/>
        </w:rPr>
        <w:t>（2）打造AI+智慧治理的邵阳模式。充分挖掘视频图像资源价值引进人工智能等新技术，全面建成对数据的感知+认知AI系统，深化视频数据智能应用，对人像图片、车辆照片、视频流结构化数据等感知数据进行深度整合挖掘，同步提供查询检索、分析比对等应用，提高智能应用水平。同时，汇聚形成海量规模的数据资源，针对各部门业务需求进行深入整合挖掘，实现社会治理最全AI覆盖；</w:t>
      </w:r>
    </w:p>
    <w:p w14:paraId="196675B3">
      <w:pPr>
        <w:spacing w:line="560" w:lineRule="exact"/>
        <w:ind w:firstLine="640" w:firstLineChars="200"/>
        <w:rPr>
          <w:sz w:val="32"/>
          <w:szCs w:val="32"/>
        </w:rPr>
      </w:pPr>
      <w:r>
        <w:rPr>
          <w:rFonts w:hint="eastAsia"/>
          <w:sz w:val="32"/>
          <w:szCs w:val="32"/>
        </w:rPr>
        <w:t>（3）建设一体化运维服务体系。全面提升系统持续可用能力建立健全视频图像信息系统、IT及物联网软硬件设备的统一运行维护管理机制，分别提供系统运行状态检测、运维管理系统和一机一档。提供主动故障报警，关联系统维护人员的时间管理和响应机制，提供综合、高效、优质的系统运行管理工作，确保系统在运行期内良好运行；</w:t>
      </w:r>
    </w:p>
    <w:p w14:paraId="50ECBC91">
      <w:pPr>
        <w:spacing w:line="560" w:lineRule="exact"/>
        <w:ind w:firstLine="640" w:firstLineChars="200"/>
        <w:rPr>
          <w:sz w:val="32"/>
          <w:szCs w:val="32"/>
        </w:rPr>
      </w:pPr>
      <w:r>
        <w:rPr>
          <w:rFonts w:hint="eastAsia"/>
          <w:sz w:val="32"/>
          <w:szCs w:val="32"/>
        </w:rPr>
        <w:t>（4）建立市域社会治理智能化建设和应用的标准规范体系标准化。主要包括云化资源服务规范、安全规范、运维管理规范、视频资源申请审批规范等；</w:t>
      </w:r>
    </w:p>
    <w:p w14:paraId="20F91456">
      <w:pPr>
        <w:spacing w:line="560" w:lineRule="exact"/>
        <w:ind w:firstLine="640" w:firstLineChars="200"/>
        <w:rPr>
          <w:sz w:val="32"/>
          <w:szCs w:val="32"/>
        </w:rPr>
      </w:pPr>
      <w:r>
        <w:rPr>
          <w:rFonts w:hint="eastAsia"/>
          <w:sz w:val="32"/>
          <w:szCs w:val="32"/>
        </w:rPr>
        <w:t>（5）质量目标。工程一次交验合格率为100%。合同范围内的全部工程使用功能，符合招投标设计（和设计变更）要求。项目建设依据国家相关法律规章、国家和行业相关标准、相关研究结果、项目设计方案、行业规范、财政评审等资料进行规划设计、建设、验收；</w:t>
      </w:r>
    </w:p>
    <w:p w14:paraId="0BC7545E">
      <w:pPr>
        <w:spacing w:line="560" w:lineRule="exact"/>
        <w:ind w:firstLine="640" w:firstLineChars="200"/>
        <w:rPr>
          <w:sz w:val="32"/>
          <w:szCs w:val="32"/>
        </w:rPr>
      </w:pPr>
      <w:r>
        <w:rPr>
          <w:rFonts w:hint="eastAsia"/>
          <w:sz w:val="32"/>
          <w:szCs w:val="32"/>
        </w:rPr>
        <w:t>（6）工期目标。科学实施，在签订合同后60日内完成项目建设；</w:t>
      </w:r>
    </w:p>
    <w:p w14:paraId="7939E07D">
      <w:pPr>
        <w:spacing w:line="560" w:lineRule="exact"/>
        <w:ind w:firstLine="640" w:firstLineChars="200"/>
        <w:rPr>
          <w:sz w:val="32"/>
          <w:szCs w:val="32"/>
        </w:rPr>
      </w:pPr>
      <w:r>
        <w:rPr>
          <w:rFonts w:hint="eastAsia"/>
          <w:sz w:val="32"/>
          <w:szCs w:val="32"/>
        </w:rPr>
        <w:t>（7）环境目标。重大火灾爆炸事故为0起，全年重大环保投诉为0起；</w:t>
      </w:r>
    </w:p>
    <w:p w14:paraId="1D357DAF">
      <w:pPr>
        <w:pStyle w:val="5"/>
        <w:spacing w:line="560" w:lineRule="exact"/>
        <w:ind w:firstLine="640" w:firstLineChars="200"/>
      </w:pPr>
      <w:r>
        <w:rPr>
          <w:rFonts w:hint="eastAsia" w:ascii="Times New Roman" w:hAnsi="Times New Roman" w:eastAsia="仿宋_GB2312"/>
          <w:sz w:val="32"/>
          <w:szCs w:val="32"/>
        </w:rPr>
        <w:t>（8）资料管理目标。按照统一样式，统一管理档案原则，对项目从酝酿、决定到投产（使用）的全过程中形成的应当归档保存的文件进行存档。具体包括基本专项的提出、调研、可行性研究、评估、决策、计划、勘测、设计、施工、监理，调试、实施准备、变更、竣工、试用（使用）、竣工结算审计、固定资产移交等工作活动中形成的文字材料。</w:t>
      </w:r>
    </w:p>
    <w:p w14:paraId="3953EA2E">
      <w:pPr>
        <w:spacing w:line="600" w:lineRule="exact"/>
        <w:ind w:left="636" w:leftChars="212"/>
        <w:outlineLvl w:val="1"/>
        <w:rPr>
          <w:rFonts w:hint="eastAsia" w:eastAsia="楷体_GB2312"/>
          <w:b/>
          <w:sz w:val="32"/>
          <w:szCs w:val="32"/>
          <w:lang w:val="en-US" w:eastAsia="zh-CN"/>
        </w:rPr>
      </w:pPr>
      <w:r>
        <w:rPr>
          <w:rFonts w:hint="eastAsia" w:eastAsia="楷体_GB2312"/>
          <w:b/>
          <w:sz w:val="32"/>
          <w:szCs w:val="32"/>
          <w:lang w:val="en-US" w:eastAsia="zh-CN"/>
        </w:rPr>
        <w:t>（三）项目绩效目标完成情况</w:t>
      </w:r>
    </w:p>
    <w:p w14:paraId="61D6AD1C">
      <w:pPr>
        <w:spacing w:line="560" w:lineRule="exact"/>
        <w:ind w:firstLine="640" w:firstLineChars="200"/>
      </w:pPr>
      <w:r>
        <w:rPr>
          <w:rFonts w:hint="eastAsia"/>
          <w:sz w:val="32"/>
          <w:szCs w:val="32"/>
        </w:rPr>
        <w:t>本专项完成了市域社会治理云化资源池、AI+智慧治理的邵阳模式、一体化运维服务体系、市域社会治理智能化建设和应用的标准规范体系标准化建设；完成了应用平台、基础平台、云平台、基础设施建设和智慧党建建设。项目按计划完成建设任务并按时验收，验收结果为合格；且项目建设期间未发生重大火灾爆炸事故和全年重大环保投诉事件。但未对可行性研究和财政评审等资料进行存档。</w:t>
      </w:r>
    </w:p>
    <w:p w14:paraId="220AFF6D">
      <w:pPr>
        <w:spacing w:line="560" w:lineRule="exact"/>
        <w:ind w:left="618" w:leftChars="206"/>
        <w:outlineLvl w:val="0"/>
        <w:rPr>
          <w:rFonts w:eastAsia="黑体"/>
          <w:sz w:val="32"/>
          <w:szCs w:val="32"/>
        </w:rPr>
      </w:pPr>
      <w:bookmarkStart w:id="4" w:name="_Toc24997"/>
      <w:r>
        <w:rPr>
          <w:rFonts w:hint="eastAsia" w:eastAsia="黑体"/>
          <w:sz w:val="32"/>
          <w:szCs w:val="32"/>
        </w:rPr>
        <w:t>三、</w:t>
      </w:r>
      <w:r>
        <w:rPr>
          <w:rFonts w:eastAsia="黑体"/>
          <w:sz w:val="32"/>
          <w:szCs w:val="32"/>
        </w:rPr>
        <w:t>绩效评价工作</w:t>
      </w:r>
      <w:r>
        <w:rPr>
          <w:rFonts w:hint="eastAsia" w:eastAsia="黑体"/>
          <w:sz w:val="32"/>
          <w:szCs w:val="32"/>
        </w:rPr>
        <w:t>开展</w:t>
      </w:r>
      <w:r>
        <w:rPr>
          <w:rFonts w:eastAsia="黑体"/>
          <w:sz w:val="32"/>
          <w:szCs w:val="32"/>
        </w:rPr>
        <w:t>情况</w:t>
      </w:r>
      <w:bookmarkEnd w:id="4"/>
    </w:p>
    <w:p w14:paraId="7E0A47A4">
      <w:pPr>
        <w:spacing w:line="560" w:lineRule="exact"/>
        <w:ind w:firstLine="640" w:firstLineChars="200"/>
        <w:rPr>
          <w:rFonts w:ascii="仿宋_GB2312"/>
          <w:sz w:val="32"/>
          <w:szCs w:val="32"/>
        </w:rPr>
      </w:pPr>
      <w:r>
        <w:rPr>
          <w:rFonts w:hint="eastAsia" w:ascii="仿宋_GB2312"/>
          <w:sz w:val="32"/>
          <w:szCs w:val="32"/>
        </w:rPr>
        <w:t>惟楚创智公司接受委托后，迅速组织骨干成员组成评价组，并制定了</w:t>
      </w:r>
      <w:r>
        <w:rPr>
          <w:rFonts w:hint="eastAsia" w:ascii="仿宋_GB2312"/>
          <w:sz w:val="32"/>
          <w:szCs w:val="32"/>
          <w:lang w:val="en-US" w:eastAsia="zh-CN"/>
        </w:rPr>
        <w:t>评价</w:t>
      </w:r>
      <w:r>
        <w:rPr>
          <w:rFonts w:hint="eastAsia" w:ascii="仿宋_GB2312"/>
          <w:sz w:val="32"/>
          <w:szCs w:val="32"/>
        </w:rPr>
        <w:t>工作实施方案。本次评价采用定量分析和定性分析相结合的方法，从预算编报和执行、预算管理、资金使用、财务管理、绩效目标和项目绩效完成等方面对项目进行综合评价。评价组主要实施了以下评价程序:评价组同</w:t>
      </w:r>
      <w:r>
        <w:rPr>
          <w:rFonts w:hint="eastAsia" w:ascii="仿宋_GB2312"/>
          <w:sz w:val="32"/>
          <w:szCs w:val="32"/>
          <w:lang w:eastAsia="zh-CN"/>
        </w:rPr>
        <w:t>市委政法委</w:t>
      </w:r>
      <w:r>
        <w:rPr>
          <w:rFonts w:hint="eastAsia" w:ascii="仿宋_GB2312"/>
          <w:sz w:val="32"/>
          <w:szCs w:val="32"/>
        </w:rPr>
        <w:t>召开了绩效评价项目进点座谈会，了解项目大致情况，明确相关项目责任科室;根据立项依据、申报、审批、运行监管、目标完成等项目资料，核查项目管理情况;根据预算申报、资金拨付及使用凭证、项目合同、发票、招投标等财务资料，查看资金拨付流程，审查资金使用及结余情况;完善项目指标考核体系，根据项目情况制定合理的个性指标;现场评价工作涉及单位</w:t>
      </w:r>
      <w:r>
        <w:rPr>
          <w:rFonts w:hint="eastAsia"/>
          <w:sz w:val="32"/>
          <w:szCs w:val="32"/>
        </w:rPr>
        <w:t>3</w:t>
      </w:r>
      <w:r>
        <w:rPr>
          <w:rFonts w:hint="eastAsia" w:ascii="仿宋_GB2312"/>
          <w:sz w:val="32"/>
          <w:szCs w:val="32"/>
        </w:rPr>
        <w:t>家，抽查资金合计</w:t>
      </w:r>
      <w:r>
        <w:rPr>
          <w:rFonts w:hint="eastAsia"/>
          <w:sz w:val="32"/>
          <w:szCs w:val="32"/>
        </w:rPr>
        <w:t>1261.42</w:t>
      </w:r>
      <w:r>
        <w:rPr>
          <w:rFonts w:hint="eastAsia" w:ascii="仿宋_GB2312"/>
          <w:sz w:val="32"/>
          <w:szCs w:val="32"/>
        </w:rPr>
        <w:t>万元，占项目资金</w:t>
      </w:r>
      <w:r>
        <w:rPr>
          <w:rFonts w:hint="eastAsia"/>
          <w:sz w:val="32"/>
          <w:szCs w:val="32"/>
        </w:rPr>
        <w:t>1355</w:t>
      </w:r>
      <w:r>
        <w:rPr>
          <w:rFonts w:hint="eastAsia" w:ascii="仿宋_GB2312"/>
          <w:sz w:val="32"/>
          <w:szCs w:val="32"/>
        </w:rPr>
        <w:t>万元的</w:t>
      </w:r>
      <w:r>
        <w:rPr>
          <w:rFonts w:hint="eastAsia"/>
          <w:sz w:val="32"/>
          <w:szCs w:val="32"/>
        </w:rPr>
        <w:t>94.49%</w:t>
      </w:r>
      <w:r>
        <w:rPr>
          <w:rFonts w:hint="eastAsia" w:ascii="仿宋_GB2312"/>
          <w:sz w:val="32"/>
          <w:szCs w:val="32"/>
        </w:rPr>
        <w:t>；抽查项目</w:t>
      </w:r>
      <w:r>
        <w:rPr>
          <w:rFonts w:hint="eastAsia"/>
          <w:sz w:val="32"/>
          <w:szCs w:val="32"/>
        </w:rPr>
        <w:t>1</w:t>
      </w:r>
      <w:r>
        <w:rPr>
          <w:rFonts w:hint="eastAsia" w:ascii="仿宋_GB2312"/>
          <w:sz w:val="32"/>
          <w:szCs w:val="32"/>
        </w:rPr>
        <w:t>个，占比</w:t>
      </w:r>
      <w:r>
        <w:rPr>
          <w:rFonts w:hint="eastAsia"/>
          <w:sz w:val="32"/>
          <w:szCs w:val="32"/>
        </w:rPr>
        <w:t>100%</w:t>
      </w:r>
      <w:r>
        <w:rPr>
          <w:rFonts w:hint="eastAsia" w:ascii="仿宋_GB2312"/>
          <w:sz w:val="32"/>
          <w:szCs w:val="32"/>
        </w:rPr>
        <w:t>；针对社会群众和使用平台的单位工作人员分别制定了项目满意度调查问卷，对项目实施涉及的社会群众、单位工作人员等发放调查问卷，了解服务对象满意度;汇总资料情况及存在的问题，综合分析形成本专项预算绩效评价报告。</w:t>
      </w:r>
    </w:p>
    <w:p w14:paraId="05AB242C">
      <w:pPr>
        <w:spacing w:line="560" w:lineRule="exact"/>
        <w:ind w:firstLine="640" w:firstLineChars="200"/>
        <w:rPr>
          <w:sz w:val="32"/>
          <w:szCs w:val="32"/>
        </w:rPr>
      </w:pPr>
      <w:r>
        <w:rPr>
          <w:rFonts w:hint="eastAsia" w:ascii="仿宋_GB2312"/>
          <w:sz w:val="32"/>
          <w:szCs w:val="32"/>
        </w:rPr>
        <w:t>本次绩效评价工作得到了</w:t>
      </w:r>
      <w:r>
        <w:rPr>
          <w:rFonts w:hint="eastAsia" w:ascii="仿宋_GB2312"/>
          <w:sz w:val="32"/>
          <w:szCs w:val="32"/>
          <w:lang w:eastAsia="zh-CN"/>
        </w:rPr>
        <w:t>市委政法委</w:t>
      </w:r>
      <w:r>
        <w:rPr>
          <w:rFonts w:hint="eastAsia" w:ascii="仿宋_GB2312"/>
          <w:sz w:val="32"/>
          <w:szCs w:val="32"/>
        </w:rPr>
        <w:t>、综治中心、电信公司等单位的大力支持和积极配合，被评单位按要求较好的提供了相关</w:t>
      </w:r>
      <w:r>
        <w:rPr>
          <w:rFonts w:hint="eastAsia"/>
          <w:sz w:val="32"/>
          <w:szCs w:val="32"/>
        </w:rPr>
        <w:t>资料。</w:t>
      </w:r>
    </w:p>
    <w:p w14:paraId="20A6FD17">
      <w:pPr>
        <w:spacing w:line="560" w:lineRule="exact"/>
        <w:ind w:left="618" w:leftChars="206"/>
        <w:outlineLvl w:val="0"/>
        <w:rPr>
          <w:rFonts w:eastAsia="黑体"/>
          <w:sz w:val="32"/>
          <w:szCs w:val="32"/>
        </w:rPr>
      </w:pPr>
      <w:bookmarkStart w:id="5" w:name="_Toc4456"/>
      <w:r>
        <w:rPr>
          <w:rFonts w:hint="eastAsia" w:eastAsia="黑体"/>
          <w:sz w:val="32"/>
          <w:szCs w:val="32"/>
        </w:rPr>
        <w:t>四、项目支出主要绩效及评价结论</w:t>
      </w:r>
      <w:bookmarkEnd w:id="5"/>
    </w:p>
    <w:p w14:paraId="74F97F94">
      <w:pPr>
        <w:spacing w:line="600" w:lineRule="exact"/>
        <w:ind w:left="636" w:leftChars="212"/>
        <w:outlineLvl w:val="1"/>
        <w:rPr>
          <w:rFonts w:eastAsia="楷体_GB2312"/>
          <w:b/>
          <w:sz w:val="32"/>
          <w:szCs w:val="32"/>
        </w:rPr>
      </w:pPr>
      <w:r>
        <w:rPr>
          <w:rFonts w:hint="eastAsia" w:eastAsia="楷体_GB2312"/>
          <w:b/>
          <w:sz w:val="32"/>
          <w:szCs w:val="32"/>
        </w:rPr>
        <w:t>（一）项目主要绩效</w:t>
      </w:r>
    </w:p>
    <w:p w14:paraId="6BFB6359">
      <w:pPr>
        <w:spacing w:line="560" w:lineRule="exact"/>
        <w:ind w:firstLine="643" w:firstLineChars="200"/>
        <w:rPr>
          <w:b/>
          <w:bCs/>
          <w:sz w:val="32"/>
          <w:szCs w:val="32"/>
        </w:rPr>
      </w:pPr>
      <w:r>
        <w:rPr>
          <w:rFonts w:hint="eastAsia"/>
          <w:b/>
          <w:bCs/>
          <w:sz w:val="32"/>
          <w:szCs w:val="32"/>
        </w:rPr>
        <w:t>1.社会效益</w:t>
      </w:r>
    </w:p>
    <w:p w14:paraId="76C04DD3">
      <w:pPr>
        <w:spacing w:line="560" w:lineRule="exact"/>
        <w:ind w:firstLine="643" w:firstLineChars="200"/>
        <w:rPr>
          <w:sz w:val="32"/>
          <w:szCs w:val="32"/>
        </w:rPr>
      </w:pPr>
      <w:r>
        <w:rPr>
          <w:rFonts w:hint="eastAsia"/>
          <w:b/>
          <w:bCs/>
          <w:sz w:val="32"/>
          <w:szCs w:val="32"/>
        </w:rPr>
        <w:t>一是城乡末端精准感知，有效提高判研、挖掘信息准确性。</w:t>
      </w:r>
      <w:r>
        <w:rPr>
          <w:rFonts w:hint="eastAsia"/>
          <w:sz w:val="32"/>
          <w:szCs w:val="32"/>
        </w:rPr>
        <w:t>城乡末端感知，提供视频在线预览和回放，人脸、人体、车辆等目标智能识别、布控比对、轨迹追踪及指定区域人群密度监测等功能，截止目前车辆抓拍图片数据可到300万条/天，人脸抓拍图片可到50万条/天，融合接入人脸、卡口视频点位共计22042路；</w:t>
      </w:r>
      <w:r>
        <w:rPr>
          <w:rFonts w:hint="eastAsia"/>
          <w:b/>
          <w:bCs/>
          <w:sz w:val="32"/>
          <w:szCs w:val="32"/>
        </w:rPr>
        <w:t>二是网格化实战管理，提供便捷服务。</w:t>
      </w:r>
      <w:r>
        <w:rPr>
          <w:rFonts w:hint="eastAsia"/>
          <w:sz w:val="32"/>
          <w:szCs w:val="32"/>
        </w:rPr>
        <w:t>邵阳市共划分6815个网格，配备网格员8329名，实现村村都有网格长、网格员管理。同时依托总平台建成“邵阳市网格化服务管理”微信小程序，畅通服务群众“最后一公里”，充分实现群众诉求便捷反映。同时小程序也实现纵向市县乡村四级贯通，横向接入各级职能部门，使群众诉求可及时得到反馈。</w:t>
      </w:r>
      <w:r>
        <w:rPr>
          <w:rFonts w:hint="eastAsia"/>
          <w:b/>
          <w:bCs/>
          <w:sz w:val="32"/>
          <w:szCs w:val="32"/>
        </w:rPr>
        <w:t>三是智慧应用，提供安全保障。</w:t>
      </w:r>
      <w:r>
        <w:rPr>
          <w:rFonts w:hint="eastAsia"/>
          <w:sz w:val="32"/>
          <w:szCs w:val="32"/>
        </w:rPr>
        <w:t>智慧应用以社会治理信息化为支撑，以网格化服务为基础，以公共安全监控联网应用为重点，整合各类视频图像资源，充分发挥物联网感知技术，可实现远程布防、巡防、一键预警，从而为群众安全保驾护航；</w:t>
      </w:r>
      <w:r>
        <w:rPr>
          <w:rFonts w:hint="eastAsia"/>
          <w:b/>
          <w:bCs/>
          <w:sz w:val="32"/>
          <w:szCs w:val="32"/>
        </w:rPr>
        <w:t>四是科技助治，三治融合。</w:t>
      </w:r>
      <w:r>
        <w:rPr>
          <w:rFonts w:hint="eastAsia"/>
          <w:sz w:val="32"/>
          <w:szCs w:val="32"/>
        </w:rPr>
        <w:t>依托网络平台，充分实现群众快速了解社区动态，一键提交民生诉求，参与社区共治，实现自治组织、德治组织、法治组织等三治融合，统一线上管理；</w:t>
      </w:r>
      <w:r>
        <w:rPr>
          <w:rFonts w:hint="eastAsia"/>
          <w:b/>
          <w:bCs/>
          <w:sz w:val="32"/>
          <w:szCs w:val="32"/>
        </w:rPr>
        <w:t>五是建平台、搭桥梁，实现心理“一点通”。</w:t>
      </w:r>
      <w:r>
        <w:rPr>
          <w:rFonts w:hint="eastAsia"/>
          <w:sz w:val="32"/>
          <w:szCs w:val="32"/>
        </w:rPr>
        <w:t>通过建立心理疏导与危机干预应用，搭建公众与心理医师的沟通桥梁，整合市精神病、市脑科医院心理服务资源，开通全市统一心理服务热线，为公众提供心理咨询和疏导服务，实现心理“一点通”，缓解群众因亲子教育、恋爱婚姻、疫情防控等因素带来的焦虑情绪，保障群众心理健康，促使积极向阳；</w:t>
      </w:r>
      <w:r>
        <w:rPr>
          <w:rFonts w:hint="eastAsia"/>
          <w:b/>
          <w:bCs/>
          <w:sz w:val="32"/>
          <w:szCs w:val="32"/>
        </w:rPr>
        <w:t>六是数据同步、共享。</w:t>
      </w:r>
      <w:r>
        <w:rPr>
          <w:rFonts w:hint="eastAsia"/>
          <w:sz w:val="32"/>
          <w:szCs w:val="32"/>
        </w:rPr>
        <w:t>本专项成功与省综治中心对接，实现了省、市平台双向数据同步。同时与公安、消防、司法、民政、城管等单位数据采集对接，现已同步更新辅警信息3176条、人民调解员10555条，律师信息1215条、法律工作者350条，社会心理医师26条、消防组织信息2404条，基层专职网格员8600条。</w:t>
      </w:r>
    </w:p>
    <w:p w14:paraId="1B894237">
      <w:pPr>
        <w:spacing w:line="560" w:lineRule="exact"/>
        <w:ind w:left="636" w:leftChars="212"/>
        <w:rPr>
          <w:b/>
          <w:bCs/>
          <w:sz w:val="32"/>
          <w:szCs w:val="32"/>
        </w:rPr>
      </w:pPr>
      <w:r>
        <w:rPr>
          <w:rFonts w:hint="eastAsia"/>
          <w:b/>
          <w:bCs/>
          <w:sz w:val="32"/>
          <w:szCs w:val="32"/>
        </w:rPr>
        <w:t>2.生态效益</w:t>
      </w:r>
    </w:p>
    <w:p w14:paraId="6736FC87">
      <w:pPr>
        <w:spacing w:line="560" w:lineRule="exact"/>
        <w:ind w:firstLine="640" w:firstLineChars="200"/>
        <w:rPr>
          <w:b/>
          <w:bCs/>
          <w:sz w:val="32"/>
          <w:szCs w:val="32"/>
        </w:rPr>
      </w:pPr>
      <w:r>
        <w:rPr>
          <w:rFonts w:hint="eastAsia" w:ascii="仿宋_GB2312"/>
          <w:sz w:val="32"/>
          <w:szCs w:val="32"/>
        </w:rPr>
        <w:t>项目建设期间有效保护了环境，未发生重大火灾爆炸事故和重大环保投诉事件等。</w:t>
      </w:r>
      <w:r>
        <w:rPr>
          <w:rFonts w:hint="eastAsia"/>
          <w:sz w:val="32"/>
          <w:szCs w:val="32"/>
        </w:rPr>
        <w:br w:type="textWrapping"/>
      </w:r>
      <w:r>
        <w:rPr>
          <w:rFonts w:hint="eastAsia"/>
          <w:sz w:val="32"/>
          <w:szCs w:val="32"/>
        </w:rPr>
        <w:t xml:space="preserve">  </w:t>
      </w:r>
      <w:r>
        <w:rPr>
          <w:rFonts w:hint="eastAsia"/>
          <w:b/>
          <w:bCs/>
          <w:sz w:val="32"/>
          <w:szCs w:val="32"/>
        </w:rPr>
        <w:t xml:space="preserve"> </w:t>
      </w:r>
      <w:r>
        <w:rPr>
          <w:b/>
          <w:bCs/>
          <w:sz w:val="32"/>
          <w:szCs w:val="32"/>
        </w:rPr>
        <w:t xml:space="preserve"> 3.可持续性影响</w:t>
      </w:r>
    </w:p>
    <w:p w14:paraId="70F6AC7C">
      <w:pPr>
        <w:spacing w:line="560" w:lineRule="exact"/>
        <w:ind w:firstLine="640" w:firstLineChars="200"/>
        <w:rPr>
          <w:sz w:val="32"/>
          <w:szCs w:val="32"/>
        </w:rPr>
      </w:pPr>
      <w:r>
        <w:rPr>
          <w:rFonts w:hint="eastAsia"/>
          <w:sz w:val="32"/>
          <w:szCs w:val="32"/>
        </w:rPr>
        <w:t>极力打造市域治理邵阳模式，本专项基于市域治理框架，聚焦市域治理业务内容，提供市域社会治理应用、云服务中心、AI服务中心、数据治理中心、感知服务中心、通用服务中心以及智慧党建内容，推动市域治理创新持续发展。</w:t>
      </w:r>
    </w:p>
    <w:p w14:paraId="21BB8A14">
      <w:pPr>
        <w:pStyle w:val="5"/>
        <w:ind w:firstLine="643" w:firstLineChars="200"/>
      </w:pPr>
      <w:r>
        <w:rPr>
          <w:rFonts w:hint="eastAsia" w:ascii="Times New Roman" w:hAnsi="Times New Roman" w:eastAsia="仿宋_GB2312"/>
          <w:b/>
          <w:bCs/>
          <w:sz w:val="32"/>
          <w:szCs w:val="32"/>
        </w:rPr>
        <w:t>4.满意度</w:t>
      </w:r>
    </w:p>
    <w:p w14:paraId="6FDB2EA3">
      <w:pPr>
        <w:spacing w:line="560" w:lineRule="exact"/>
        <w:ind w:firstLine="640" w:firstLineChars="200"/>
        <w:rPr>
          <w:color w:val="FF0000"/>
          <w:sz w:val="32"/>
          <w:szCs w:val="32"/>
        </w:rPr>
      </w:pPr>
      <w:r>
        <w:rPr>
          <w:rFonts w:hint="eastAsia"/>
          <w:sz w:val="32"/>
          <w:szCs w:val="32"/>
        </w:rPr>
        <w:t>评价组对本专项开展了问卷调查，针对社会群众和使用平台的单位工作人员分别发放调查问卷各20份，共收回</w:t>
      </w:r>
      <w:r>
        <w:rPr>
          <w:sz w:val="32"/>
          <w:szCs w:val="32"/>
        </w:rPr>
        <w:t>4</w:t>
      </w:r>
      <w:r>
        <w:rPr>
          <w:rFonts w:hint="eastAsia"/>
          <w:sz w:val="32"/>
          <w:szCs w:val="32"/>
        </w:rPr>
        <w:t>0份，根据问卷调查结果统计，社会群众满意度为85%，使用平台的单位工作人员满意度为90.47%。</w:t>
      </w:r>
    </w:p>
    <w:p w14:paraId="00DF3F9C">
      <w:pPr>
        <w:pStyle w:val="5"/>
        <w:ind w:firstLine="643" w:firstLineChars="200"/>
        <w:outlineLvl w:val="1"/>
        <w:rPr>
          <w:rFonts w:ascii="Times New Roman" w:hAnsi="Times New Roman" w:eastAsia="楷体_GB2312"/>
          <w:b/>
          <w:sz w:val="32"/>
          <w:szCs w:val="32"/>
        </w:rPr>
      </w:pPr>
      <w:r>
        <w:rPr>
          <w:rFonts w:hint="eastAsia" w:ascii="Times New Roman" w:hAnsi="Times New Roman" w:eastAsia="楷体_GB2312"/>
          <w:b/>
          <w:sz w:val="32"/>
          <w:szCs w:val="32"/>
        </w:rPr>
        <w:t>（二）评价结论</w:t>
      </w:r>
    </w:p>
    <w:p w14:paraId="3CD5EB18">
      <w:pPr>
        <w:spacing w:line="560" w:lineRule="exact"/>
        <w:ind w:firstLine="640" w:firstLineChars="200"/>
        <w:rPr>
          <w:sz w:val="32"/>
          <w:szCs w:val="32"/>
        </w:rPr>
      </w:pPr>
      <w:r>
        <w:rPr>
          <w:rFonts w:hint="eastAsia"/>
          <w:sz w:val="32"/>
          <w:szCs w:val="32"/>
        </w:rPr>
        <w:t>评价组在全面了解本专项的立项背景依据、资金的使用情况、绩效目标的设定完成情况以及产生的效果的基础上，通过书面评价与现场核查，结合</w:t>
      </w:r>
      <w:r>
        <w:rPr>
          <w:rFonts w:hint="eastAsia"/>
          <w:sz w:val="32"/>
          <w:szCs w:val="32"/>
          <w:lang w:eastAsia="zh-CN"/>
        </w:rPr>
        <w:t>市委政法委</w:t>
      </w:r>
      <w:r>
        <w:rPr>
          <w:rFonts w:hint="eastAsia"/>
          <w:sz w:val="32"/>
          <w:szCs w:val="32"/>
        </w:rPr>
        <w:t>、综治中心、电信公司等单位提供的佐证材料，经综合评定，本专项资金绩效评价得分为</w:t>
      </w:r>
      <w:r>
        <w:rPr>
          <w:rFonts w:hint="eastAsia"/>
          <w:sz w:val="32"/>
          <w:szCs w:val="32"/>
          <w:lang w:val="en-US" w:eastAsia="zh-CN"/>
        </w:rPr>
        <w:t>81.5</w:t>
      </w:r>
      <w:r>
        <w:rPr>
          <w:rFonts w:hint="eastAsia"/>
          <w:sz w:val="32"/>
          <w:szCs w:val="32"/>
        </w:rPr>
        <w:t>分，评价等级为“</w:t>
      </w:r>
      <w:r>
        <w:rPr>
          <w:rFonts w:hint="eastAsia"/>
          <w:sz w:val="32"/>
          <w:szCs w:val="32"/>
          <w:lang w:val="en-US" w:eastAsia="zh-CN"/>
        </w:rPr>
        <w:t>良</w:t>
      </w:r>
      <w:r>
        <w:rPr>
          <w:rFonts w:hint="eastAsia"/>
          <w:sz w:val="32"/>
          <w:szCs w:val="32"/>
        </w:rPr>
        <w:t>”。</w:t>
      </w:r>
    </w:p>
    <w:p w14:paraId="16AE72D0">
      <w:pPr>
        <w:spacing w:line="600" w:lineRule="exact"/>
        <w:ind w:firstLine="640" w:firstLineChars="200"/>
        <w:outlineLvl w:val="0"/>
        <w:rPr>
          <w:rFonts w:eastAsia="黑体"/>
          <w:sz w:val="32"/>
          <w:szCs w:val="32"/>
        </w:rPr>
      </w:pPr>
      <w:bookmarkStart w:id="6" w:name="_Toc17418"/>
      <w:r>
        <w:rPr>
          <w:rFonts w:hint="eastAsia" w:eastAsia="黑体"/>
          <w:sz w:val="32"/>
          <w:szCs w:val="32"/>
        </w:rPr>
        <w:t>五</w:t>
      </w:r>
      <w:r>
        <w:rPr>
          <w:rFonts w:eastAsia="黑体"/>
          <w:sz w:val="32"/>
          <w:szCs w:val="32"/>
        </w:rPr>
        <w:t>、绩效评价指标分析</w:t>
      </w:r>
      <w:bookmarkEnd w:id="6"/>
    </w:p>
    <w:p w14:paraId="67C48186">
      <w:pPr>
        <w:spacing w:line="600" w:lineRule="exact"/>
        <w:ind w:left="636" w:leftChars="212"/>
        <w:outlineLvl w:val="1"/>
        <w:rPr>
          <w:rFonts w:eastAsia="楷体_GB2312"/>
          <w:b/>
          <w:sz w:val="32"/>
          <w:szCs w:val="32"/>
        </w:rPr>
      </w:pPr>
      <w:r>
        <w:rPr>
          <w:rFonts w:eastAsia="楷体_GB2312"/>
          <w:b/>
          <w:sz w:val="32"/>
          <w:szCs w:val="32"/>
        </w:rPr>
        <w:t>（一）</w:t>
      </w:r>
      <w:r>
        <w:rPr>
          <w:rFonts w:hint="eastAsia" w:eastAsia="楷体_GB2312"/>
          <w:b/>
          <w:sz w:val="32"/>
          <w:szCs w:val="32"/>
        </w:rPr>
        <w:t>项目</w:t>
      </w:r>
      <w:r>
        <w:rPr>
          <w:rFonts w:eastAsia="楷体_GB2312"/>
          <w:b/>
          <w:sz w:val="32"/>
          <w:szCs w:val="32"/>
        </w:rPr>
        <w:t>支出决策情况</w:t>
      </w:r>
    </w:p>
    <w:p w14:paraId="36EE0D92">
      <w:pPr>
        <w:pStyle w:val="5"/>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项目决策包括项目立项、绩效目标和资金投入。该项满分为</w:t>
      </w:r>
      <w:r>
        <w:rPr>
          <w:rFonts w:ascii="Times New Roman" w:hAnsi="Times New Roman" w:eastAsia="仿宋_GB2312"/>
          <w:sz w:val="32"/>
          <w:szCs w:val="32"/>
        </w:rPr>
        <w:t>13</w:t>
      </w:r>
      <w:r>
        <w:rPr>
          <w:rFonts w:hint="eastAsia" w:ascii="Times New Roman" w:hAnsi="Times New Roman" w:eastAsia="仿宋_GB2312"/>
          <w:sz w:val="32"/>
          <w:szCs w:val="32"/>
        </w:rPr>
        <w:t>分，扣</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分，得</w:t>
      </w:r>
      <w:r>
        <w:rPr>
          <w:rFonts w:ascii="Times New Roman" w:hAnsi="Times New Roman" w:eastAsia="仿宋_GB2312"/>
          <w:sz w:val="32"/>
          <w:szCs w:val="32"/>
        </w:rPr>
        <w:t>1</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分，得分率</w:t>
      </w:r>
      <w:r>
        <w:rPr>
          <w:rFonts w:hint="eastAsia" w:ascii="Times New Roman" w:hAnsi="Times New Roman" w:eastAsia="仿宋_GB2312"/>
          <w:sz w:val="32"/>
          <w:szCs w:val="32"/>
          <w:lang w:val="en-US" w:eastAsia="zh-CN"/>
        </w:rPr>
        <w:t>76.92%</w:t>
      </w:r>
      <w:r>
        <w:rPr>
          <w:rFonts w:hint="eastAsia" w:ascii="Times New Roman" w:hAnsi="Times New Roman" w:eastAsia="仿宋_GB2312"/>
          <w:sz w:val="32"/>
          <w:szCs w:val="32"/>
        </w:rPr>
        <w:t>。扣分明细为：</w:t>
      </w:r>
      <w:r>
        <w:rPr>
          <w:rFonts w:hint="eastAsia" w:ascii="Times New Roman" w:hAnsi="Times New Roman" w:eastAsia="仿宋_GB2312"/>
          <w:sz w:val="32"/>
          <w:szCs w:val="32"/>
          <w:lang w:val="en-US" w:eastAsia="zh-CN"/>
        </w:rPr>
        <w:t>无绩效目标，扣1分；</w:t>
      </w:r>
      <w:r>
        <w:rPr>
          <w:rFonts w:hint="eastAsia" w:ascii="Times New Roman" w:hAnsi="Times New Roman" w:eastAsia="仿宋_GB2312"/>
          <w:sz w:val="32"/>
          <w:szCs w:val="32"/>
        </w:rPr>
        <w:t>绩效指标不够精细化，扣1分；绩效指标未通过清晰、可衡量的指标值予以体现，扣1分。</w:t>
      </w:r>
    </w:p>
    <w:p w14:paraId="0BC1B4DC">
      <w:pPr>
        <w:numPr>
          <w:ilvl w:val="0"/>
          <w:numId w:val="1"/>
        </w:numPr>
        <w:spacing w:line="600" w:lineRule="exact"/>
        <w:ind w:firstLine="643" w:firstLineChars="200"/>
        <w:outlineLvl w:val="1"/>
        <w:rPr>
          <w:rFonts w:eastAsia="楷体_GB2312"/>
          <w:b/>
          <w:sz w:val="32"/>
          <w:szCs w:val="32"/>
        </w:rPr>
      </w:pPr>
      <w:r>
        <w:rPr>
          <w:rFonts w:hint="eastAsia" w:eastAsia="楷体_GB2312"/>
          <w:b/>
          <w:sz w:val="32"/>
          <w:szCs w:val="32"/>
        </w:rPr>
        <w:t>项目</w:t>
      </w:r>
      <w:r>
        <w:rPr>
          <w:rFonts w:eastAsia="楷体_GB2312"/>
          <w:b/>
          <w:sz w:val="32"/>
          <w:szCs w:val="32"/>
        </w:rPr>
        <w:t>执行过程情况</w:t>
      </w:r>
    </w:p>
    <w:p w14:paraId="57AD923B">
      <w:pPr>
        <w:spacing w:line="600" w:lineRule="exact"/>
        <w:ind w:firstLine="640" w:firstLineChars="200"/>
        <w:rPr>
          <w:rFonts w:eastAsia="楷体_GB2312"/>
          <w:b/>
          <w:sz w:val="32"/>
          <w:szCs w:val="32"/>
        </w:rPr>
      </w:pPr>
      <w:r>
        <w:rPr>
          <w:rFonts w:hint="eastAsia"/>
          <w:sz w:val="32"/>
          <w:szCs w:val="32"/>
        </w:rPr>
        <w:t>项目过程包括资金管理和组织实施。该项满分为2</w:t>
      </w:r>
      <w:r>
        <w:rPr>
          <w:sz w:val="32"/>
          <w:szCs w:val="32"/>
        </w:rPr>
        <w:t>3</w:t>
      </w:r>
      <w:r>
        <w:rPr>
          <w:rFonts w:hint="eastAsia"/>
          <w:sz w:val="32"/>
          <w:szCs w:val="32"/>
        </w:rPr>
        <w:t>分，扣</w:t>
      </w:r>
      <w:r>
        <w:rPr>
          <w:rFonts w:hint="eastAsia"/>
          <w:sz w:val="32"/>
          <w:szCs w:val="32"/>
          <w:lang w:val="en-US" w:eastAsia="zh-CN"/>
        </w:rPr>
        <w:t>9</w:t>
      </w:r>
      <w:r>
        <w:rPr>
          <w:rFonts w:hint="eastAsia"/>
          <w:sz w:val="32"/>
          <w:szCs w:val="32"/>
        </w:rPr>
        <w:t>.5分，得1</w:t>
      </w:r>
      <w:r>
        <w:rPr>
          <w:rFonts w:hint="eastAsia"/>
          <w:sz w:val="32"/>
          <w:szCs w:val="32"/>
          <w:lang w:val="en-US" w:eastAsia="zh-CN"/>
        </w:rPr>
        <w:t>3</w:t>
      </w:r>
      <w:r>
        <w:rPr>
          <w:rFonts w:hint="eastAsia"/>
          <w:sz w:val="32"/>
          <w:szCs w:val="32"/>
        </w:rPr>
        <w:t>.5分，得分率</w:t>
      </w:r>
      <w:r>
        <w:rPr>
          <w:rFonts w:hint="eastAsia"/>
          <w:sz w:val="32"/>
          <w:szCs w:val="32"/>
          <w:lang w:val="en-US" w:eastAsia="zh-CN"/>
        </w:rPr>
        <w:t>58.70%</w:t>
      </w:r>
      <w:r>
        <w:rPr>
          <w:rFonts w:hint="eastAsia"/>
          <w:sz w:val="32"/>
          <w:szCs w:val="32"/>
        </w:rPr>
        <w:t>。扣分明细为：预算执行率为94.49%，未达95%，扣0.5分；部分专项资金存在挤占、挪用现象，如：2020年12月支付招考笔试面试费5.6万元、支付差旅费0.51万元、支付驻村补助及租金交通费0.93万元等，涉及金额11.35万元，不属于本专项实施内容，且不符合国家财经法规和财务管理制度以及有关专项资金管理办法的规定，扣</w:t>
      </w:r>
      <w:r>
        <w:rPr>
          <w:rFonts w:hint="eastAsia"/>
          <w:sz w:val="32"/>
          <w:szCs w:val="32"/>
          <w:lang w:val="en-US" w:eastAsia="zh-CN"/>
        </w:rPr>
        <w:t>4</w:t>
      </w:r>
      <w:r>
        <w:rPr>
          <w:rFonts w:hint="eastAsia"/>
          <w:sz w:val="32"/>
          <w:szCs w:val="32"/>
        </w:rPr>
        <w:t>分；本专项监理费17.16万元从邵财预备〔2020〕091号文中列支，占用其他预算资金指标，扣</w:t>
      </w:r>
      <w:r>
        <w:rPr>
          <w:rFonts w:hint="eastAsia"/>
          <w:sz w:val="32"/>
          <w:szCs w:val="32"/>
          <w:lang w:val="en-US" w:eastAsia="zh-CN"/>
        </w:rPr>
        <w:t>2</w:t>
      </w:r>
      <w:r>
        <w:rPr>
          <w:rFonts w:hint="eastAsia"/>
          <w:sz w:val="32"/>
          <w:szCs w:val="32"/>
        </w:rPr>
        <w:t>分；未制定专项资金管理办法，扣</w:t>
      </w:r>
      <w:r>
        <w:rPr>
          <w:rFonts w:hint="eastAsia"/>
          <w:sz w:val="32"/>
          <w:szCs w:val="32"/>
          <w:lang w:val="en-US" w:eastAsia="zh-CN"/>
        </w:rPr>
        <w:t>2</w:t>
      </w:r>
      <w:r>
        <w:rPr>
          <w:rFonts w:hint="eastAsia"/>
          <w:sz w:val="32"/>
          <w:szCs w:val="32"/>
        </w:rPr>
        <w:t>分；档案管理不严谨，如未对可行性研究报告和财政评审资料进行存档，扣</w:t>
      </w:r>
      <w:r>
        <w:rPr>
          <w:rFonts w:hint="eastAsia"/>
          <w:sz w:val="32"/>
          <w:szCs w:val="32"/>
          <w:lang w:val="en-US" w:eastAsia="zh-CN"/>
        </w:rPr>
        <w:t>1</w:t>
      </w:r>
      <w:r>
        <w:rPr>
          <w:rFonts w:hint="eastAsia"/>
          <w:sz w:val="32"/>
          <w:szCs w:val="32"/>
        </w:rPr>
        <w:t>分。</w:t>
      </w:r>
    </w:p>
    <w:p w14:paraId="5A8C895A">
      <w:pPr>
        <w:numPr>
          <w:ilvl w:val="0"/>
          <w:numId w:val="1"/>
        </w:numPr>
        <w:spacing w:line="600" w:lineRule="exact"/>
        <w:ind w:firstLine="643" w:firstLineChars="200"/>
        <w:outlineLvl w:val="1"/>
        <w:rPr>
          <w:rFonts w:eastAsia="楷体_GB2312"/>
          <w:b/>
          <w:sz w:val="32"/>
          <w:szCs w:val="32"/>
        </w:rPr>
      </w:pPr>
      <w:r>
        <w:rPr>
          <w:rFonts w:hint="eastAsia" w:eastAsia="楷体_GB2312"/>
          <w:b/>
          <w:sz w:val="32"/>
          <w:szCs w:val="32"/>
        </w:rPr>
        <w:t>项目支出产出情况</w:t>
      </w:r>
    </w:p>
    <w:p w14:paraId="566376AA">
      <w:pPr>
        <w:spacing w:line="560" w:lineRule="exact"/>
        <w:ind w:firstLine="640" w:firstLineChars="200"/>
        <w:rPr>
          <w:rFonts w:eastAsia="楷体_GB2312"/>
          <w:b/>
          <w:sz w:val="32"/>
          <w:szCs w:val="32"/>
        </w:rPr>
      </w:pPr>
      <w:r>
        <w:rPr>
          <w:rFonts w:hint="eastAsia"/>
          <w:sz w:val="32"/>
          <w:szCs w:val="32"/>
        </w:rPr>
        <w:t>项目产出包括产出数量、产出质量、产出时效和产出成本。该项满分为31分，扣</w:t>
      </w:r>
      <w:r>
        <w:rPr>
          <w:rFonts w:hint="eastAsia"/>
          <w:sz w:val="32"/>
          <w:szCs w:val="32"/>
          <w:lang w:val="en-US" w:eastAsia="zh-CN"/>
        </w:rPr>
        <w:t>5</w:t>
      </w:r>
      <w:r>
        <w:rPr>
          <w:rFonts w:hint="eastAsia"/>
          <w:sz w:val="32"/>
          <w:szCs w:val="32"/>
        </w:rPr>
        <w:t>分，得</w:t>
      </w:r>
      <w:r>
        <w:rPr>
          <w:rFonts w:hint="eastAsia"/>
          <w:sz w:val="32"/>
          <w:szCs w:val="32"/>
          <w:lang w:val="en-US" w:eastAsia="zh-CN"/>
        </w:rPr>
        <w:t>26</w:t>
      </w:r>
      <w:r>
        <w:rPr>
          <w:rFonts w:hint="eastAsia"/>
          <w:sz w:val="32"/>
          <w:szCs w:val="32"/>
        </w:rPr>
        <w:t>分，得分率</w:t>
      </w:r>
      <w:r>
        <w:rPr>
          <w:rFonts w:hint="eastAsia"/>
          <w:sz w:val="32"/>
          <w:szCs w:val="32"/>
          <w:lang w:val="en-US" w:eastAsia="zh-CN"/>
        </w:rPr>
        <w:t>83.87%</w:t>
      </w:r>
      <w:r>
        <w:rPr>
          <w:rFonts w:hint="eastAsia"/>
          <w:sz w:val="32"/>
          <w:szCs w:val="32"/>
        </w:rPr>
        <w:t>。扣分明细为：总平台网络安全等级保护测评未完成，扣</w:t>
      </w:r>
      <w:r>
        <w:rPr>
          <w:rFonts w:hint="eastAsia"/>
          <w:sz w:val="32"/>
          <w:szCs w:val="32"/>
          <w:lang w:val="en-US" w:eastAsia="zh-CN"/>
        </w:rPr>
        <w:t>2</w:t>
      </w:r>
      <w:r>
        <w:rPr>
          <w:rFonts w:hint="eastAsia"/>
          <w:sz w:val="32"/>
          <w:szCs w:val="32"/>
        </w:rPr>
        <w:t>分；</w:t>
      </w:r>
      <w:r>
        <w:rPr>
          <w:rFonts w:hint="eastAsia"/>
          <w:sz w:val="32"/>
          <w:szCs w:val="32"/>
          <w:highlight w:val="none"/>
        </w:rPr>
        <w:t>总平台</w:t>
      </w:r>
      <w:r>
        <w:rPr>
          <w:rFonts w:hint="eastAsia"/>
          <w:sz w:val="32"/>
          <w:szCs w:val="32"/>
          <w:highlight w:val="none"/>
          <w:lang w:val="en-US" w:eastAsia="zh-CN"/>
        </w:rPr>
        <w:t>平</w:t>
      </w:r>
      <w:r>
        <w:rPr>
          <w:rFonts w:hint="eastAsia"/>
          <w:sz w:val="32"/>
          <w:szCs w:val="32"/>
          <w:highlight w:val="none"/>
        </w:rPr>
        <w:t>安考核板块未投入使用、综合可视调度系统中“点位地图</w:t>
      </w:r>
      <w:r>
        <w:rPr>
          <w:rFonts w:hint="eastAsia"/>
          <w:sz w:val="32"/>
          <w:szCs w:val="32"/>
        </w:rPr>
        <w:t>”无法正常使用，搜索不到明细内容，扣</w:t>
      </w:r>
      <w:r>
        <w:rPr>
          <w:rFonts w:hint="eastAsia"/>
          <w:sz w:val="32"/>
          <w:szCs w:val="32"/>
          <w:lang w:val="en-US" w:eastAsia="zh-CN"/>
        </w:rPr>
        <w:t>1</w:t>
      </w:r>
      <w:r>
        <w:rPr>
          <w:rFonts w:hint="eastAsia"/>
          <w:sz w:val="32"/>
          <w:szCs w:val="32"/>
        </w:rPr>
        <w:t>分；终验收有2个遗留问题，截止绩效评价日仍未解决，扣</w:t>
      </w:r>
      <w:r>
        <w:rPr>
          <w:rFonts w:hint="eastAsia"/>
          <w:sz w:val="32"/>
          <w:szCs w:val="32"/>
          <w:lang w:val="en-US" w:eastAsia="zh-CN"/>
        </w:rPr>
        <w:t>1</w:t>
      </w:r>
      <w:r>
        <w:rPr>
          <w:rFonts w:hint="eastAsia"/>
          <w:sz w:val="32"/>
          <w:szCs w:val="32"/>
        </w:rPr>
        <w:t>分；总平台硬件环境、网络安全等基本条件存在安全隐患，还需整改完善，扣</w:t>
      </w:r>
      <w:r>
        <w:rPr>
          <w:rFonts w:hint="eastAsia"/>
          <w:sz w:val="32"/>
          <w:szCs w:val="32"/>
          <w:lang w:val="en-US" w:eastAsia="zh-CN"/>
        </w:rPr>
        <w:t>1</w:t>
      </w:r>
      <w:r>
        <w:rPr>
          <w:rFonts w:hint="eastAsia"/>
          <w:sz w:val="32"/>
          <w:szCs w:val="32"/>
        </w:rPr>
        <w:t>分。</w:t>
      </w:r>
    </w:p>
    <w:p w14:paraId="469BA079">
      <w:pPr>
        <w:numPr>
          <w:ilvl w:val="0"/>
          <w:numId w:val="1"/>
        </w:numPr>
        <w:spacing w:line="560" w:lineRule="exact"/>
        <w:ind w:firstLine="643" w:firstLineChars="200"/>
        <w:outlineLvl w:val="1"/>
        <w:rPr>
          <w:rFonts w:eastAsia="黑体"/>
          <w:sz w:val="32"/>
          <w:szCs w:val="32"/>
        </w:rPr>
      </w:pPr>
      <w:r>
        <w:rPr>
          <w:rFonts w:hint="eastAsia" w:eastAsia="楷体_GB2312"/>
          <w:b/>
          <w:sz w:val="32"/>
          <w:szCs w:val="32"/>
        </w:rPr>
        <w:t>项目</w:t>
      </w:r>
      <w:r>
        <w:rPr>
          <w:rFonts w:eastAsia="楷体_GB2312"/>
          <w:b/>
          <w:sz w:val="32"/>
          <w:szCs w:val="32"/>
        </w:rPr>
        <w:t>支出效益情况</w:t>
      </w:r>
    </w:p>
    <w:p w14:paraId="1984B8A0">
      <w:pPr>
        <w:pStyle w:val="5"/>
        <w:spacing w:before="0" w:line="560" w:lineRule="exact"/>
        <w:ind w:firstLine="640" w:firstLineChars="200"/>
        <w:rPr>
          <w:rFonts w:eastAsia="黑体"/>
          <w:sz w:val="32"/>
          <w:szCs w:val="32"/>
        </w:rPr>
      </w:pPr>
      <w:r>
        <w:rPr>
          <w:rFonts w:hint="eastAsia" w:ascii="Times New Roman" w:hAnsi="Times New Roman" w:eastAsia="仿宋_GB2312"/>
          <w:sz w:val="32"/>
          <w:szCs w:val="32"/>
        </w:rPr>
        <w:t>项目效益包括社会效益、生态效益、可持续性影响和满意度。该项满分为33分，扣1分，得32分，得分率90.47%。扣分明细为：社会群众满意度为85%，未达90%，扣1分。</w:t>
      </w:r>
      <w:r>
        <w:rPr>
          <w:rFonts w:eastAsia="楷体_GB2312"/>
          <w:b/>
          <w:sz w:val="32"/>
          <w:szCs w:val="32"/>
        </w:rPr>
        <w:br w:type="textWrapping"/>
      </w:r>
      <w:r>
        <w:rPr>
          <w:rFonts w:hint="eastAsia" w:eastAsia="楷体_GB2312"/>
          <w:b/>
          <w:sz w:val="32"/>
          <w:szCs w:val="32"/>
        </w:rPr>
        <w:t xml:space="preserve">   </w:t>
      </w:r>
      <w:r>
        <w:rPr>
          <w:rFonts w:hint="eastAsia" w:ascii="Times New Roman" w:hAnsi="Times New Roman" w:eastAsia="黑体" w:cs="Times New Roman"/>
          <w:kern w:val="2"/>
          <w:sz w:val="32"/>
          <w:szCs w:val="32"/>
          <w:lang w:val="en-US" w:eastAsia="zh-CN" w:bidi="ar-SA"/>
        </w:rPr>
        <w:t xml:space="preserve"> 六、主要经验及做法、存在的问题及原因分析</w:t>
      </w:r>
    </w:p>
    <w:p w14:paraId="6E9C21D6">
      <w:pPr>
        <w:numPr>
          <w:ilvl w:val="0"/>
          <w:numId w:val="2"/>
        </w:numPr>
        <w:spacing w:line="600" w:lineRule="exact"/>
        <w:ind w:firstLine="643" w:firstLineChars="200"/>
        <w:outlineLvl w:val="1"/>
        <w:rPr>
          <w:rFonts w:eastAsia="楷体_GB2312"/>
          <w:b/>
          <w:sz w:val="32"/>
          <w:szCs w:val="32"/>
        </w:rPr>
      </w:pPr>
      <w:r>
        <w:rPr>
          <w:rFonts w:hint="eastAsia" w:eastAsia="楷体_GB2312"/>
          <w:b/>
          <w:sz w:val="32"/>
          <w:szCs w:val="32"/>
        </w:rPr>
        <w:t>主要经验及做法</w:t>
      </w:r>
    </w:p>
    <w:p w14:paraId="0B98F32B">
      <w:pPr>
        <w:pStyle w:val="5"/>
        <w:spacing w:before="0" w:line="560" w:lineRule="exact"/>
        <w:ind w:firstLine="643" w:firstLineChars="200"/>
      </w:pPr>
      <w:r>
        <w:rPr>
          <w:rFonts w:hint="eastAsia" w:ascii="Times New Roman" w:hAnsi="Times New Roman" w:eastAsia="仿宋_GB2312"/>
          <w:b/>
          <w:bCs/>
          <w:sz w:val="32"/>
          <w:szCs w:val="32"/>
        </w:rPr>
        <w:t>一是</w:t>
      </w:r>
      <w:r>
        <w:rPr>
          <w:rFonts w:hint="eastAsia" w:ascii="Times New Roman" w:hAnsi="Times New Roman" w:eastAsia="仿宋_GB2312"/>
          <w:sz w:val="32"/>
          <w:szCs w:val="32"/>
        </w:rPr>
        <w:t>总平台“互联互通”，数据融合可共享；</w:t>
      </w:r>
      <w:r>
        <w:rPr>
          <w:rFonts w:hint="eastAsia" w:ascii="Times New Roman" w:hAnsi="Times New Roman" w:eastAsia="仿宋_GB2312"/>
          <w:b/>
          <w:bCs/>
          <w:sz w:val="32"/>
          <w:szCs w:val="32"/>
        </w:rPr>
        <w:t>二是</w:t>
      </w:r>
      <w:r>
        <w:rPr>
          <w:rFonts w:hint="eastAsia" w:ascii="Times New Roman" w:hAnsi="Times New Roman" w:eastAsia="仿宋_GB2312"/>
          <w:sz w:val="32"/>
          <w:szCs w:val="32"/>
        </w:rPr>
        <w:t>网格化管理，辅之“邵阳市网格化股鳄鱼管理”微信小程序，共同助力社会治理服务零距离，可实现群众诉求及时生成，基层力量办理，平台受理中心流转的全闭环；</w:t>
      </w:r>
      <w:r>
        <w:rPr>
          <w:rFonts w:hint="eastAsia" w:ascii="Times New Roman" w:hAnsi="Times New Roman" w:eastAsia="仿宋_GB2312"/>
          <w:b/>
          <w:bCs/>
          <w:sz w:val="32"/>
          <w:szCs w:val="32"/>
        </w:rPr>
        <w:t>三是</w:t>
      </w:r>
      <w:r>
        <w:rPr>
          <w:rFonts w:hint="eastAsia" w:ascii="Times New Roman" w:hAnsi="Times New Roman" w:eastAsia="仿宋_GB2312"/>
          <w:sz w:val="32"/>
          <w:szCs w:val="32"/>
        </w:rPr>
        <w:t>科技助力，智能感知，以视频监控为主，结合视频和图像资源智能分析，实现智能、便捷、简易社会治理和管理，提升社会治理精准化、智能化水平，增强社会治理综合效能。</w:t>
      </w:r>
    </w:p>
    <w:p w14:paraId="42591E96">
      <w:pPr>
        <w:numPr>
          <w:ilvl w:val="0"/>
          <w:numId w:val="2"/>
        </w:numPr>
        <w:spacing w:line="600" w:lineRule="exact"/>
        <w:ind w:firstLine="643" w:firstLineChars="200"/>
        <w:outlineLvl w:val="1"/>
        <w:rPr>
          <w:rFonts w:eastAsia="楷体_GB2312"/>
          <w:b/>
          <w:sz w:val="32"/>
          <w:szCs w:val="32"/>
        </w:rPr>
      </w:pPr>
      <w:r>
        <w:rPr>
          <w:rFonts w:hint="eastAsia" w:eastAsia="楷体_GB2312"/>
          <w:b/>
          <w:sz w:val="32"/>
          <w:szCs w:val="32"/>
        </w:rPr>
        <w:t>存在的问题及原因分析</w:t>
      </w:r>
    </w:p>
    <w:p w14:paraId="57D55D3A">
      <w:pPr>
        <w:pStyle w:val="5"/>
        <w:spacing w:before="0" w:line="560" w:lineRule="exact"/>
        <w:ind w:firstLine="643" w:firstLineChars="200"/>
        <w:rPr>
          <w:rFonts w:ascii="Times New Roman" w:hAnsi="Times New Roman" w:eastAsia="仿宋_GB2312"/>
          <w:b/>
          <w:bCs/>
          <w:sz w:val="32"/>
          <w:szCs w:val="32"/>
        </w:rPr>
      </w:pPr>
      <w:r>
        <w:rPr>
          <w:rFonts w:hint="eastAsia" w:ascii="Times New Roman" w:hAnsi="Times New Roman" w:eastAsia="仿宋_GB2312"/>
          <w:b/>
          <w:bCs/>
          <w:sz w:val="32"/>
          <w:szCs w:val="32"/>
        </w:rPr>
        <w:t>1.预算绩效</w:t>
      </w:r>
      <w:r>
        <w:rPr>
          <w:rFonts w:hint="eastAsia" w:ascii="Times New Roman" w:hAnsi="Times New Roman" w:eastAsia="仿宋_GB2312"/>
          <w:b/>
          <w:bCs/>
          <w:sz w:val="32"/>
          <w:szCs w:val="32"/>
          <w:lang w:val="en-US" w:eastAsia="zh-CN"/>
        </w:rPr>
        <w:t>目标</w:t>
      </w:r>
      <w:r>
        <w:rPr>
          <w:rFonts w:hint="eastAsia" w:ascii="Times New Roman" w:hAnsi="Times New Roman" w:eastAsia="仿宋_GB2312"/>
          <w:b/>
          <w:bCs/>
          <w:sz w:val="32"/>
          <w:szCs w:val="32"/>
        </w:rPr>
        <w:t>管理工作有待加强</w:t>
      </w:r>
    </w:p>
    <w:p w14:paraId="0D88B171">
      <w:pPr>
        <w:pStyle w:val="5"/>
        <w:spacing w:before="0"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eastAsia="zh-CN"/>
        </w:rPr>
        <w:t>市委政法委</w:t>
      </w:r>
      <w:r>
        <w:rPr>
          <w:rFonts w:hint="eastAsia" w:ascii="Times New Roman" w:hAnsi="Times New Roman" w:eastAsia="仿宋_GB2312"/>
          <w:sz w:val="32"/>
          <w:szCs w:val="32"/>
        </w:rPr>
        <w:t>对预算绩效管理认识不足，具体包括：</w:t>
      </w:r>
      <w:r>
        <w:rPr>
          <w:rFonts w:hint="eastAsia" w:ascii="Times New Roman" w:hAnsi="Times New Roman" w:eastAsia="仿宋_GB2312"/>
          <w:sz w:val="32"/>
          <w:szCs w:val="32"/>
          <w:lang w:eastAsia="zh-CN"/>
        </w:rPr>
        <w:t>市委政法委</w:t>
      </w:r>
      <w:r>
        <w:rPr>
          <w:rFonts w:hint="eastAsia" w:ascii="Times New Roman" w:hAnsi="Times New Roman" w:eastAsia="仿宋_GB2312"/>
          <w:sz w:val="32"/>
          <w:szCs w:val="32"/>
        </w:rPr>
        <w:t>未将项目任务细化成清晰、可衡量的工作目标；未将工作目标设置成预算绩效目标且进行细化、量化，并于年初</w:t>
      </w:r>
      <w:r>
        <w:rPr>
          <w:rFonts w:hint="eastAsia" w:ascii="Times New Roman" w:hAnsi="Times New Roman" w:eastAsia="仿宋_GB2312"/>
          <w:sz w:val="32"/>
          <w:szCs w:val="32"/>
          <w:lang w:val="en-US" w:eastAsia="zh-CN"/>
        </w:rPr>
        <w:t>同步申</w:t>
      </w:r>
      <w:r>
        <w:rPr>
          <w:rFonts w:hint="eastAsia" w:ascii="Times New Roman" w:hAnsi="Times New Roman" w:eastAsia="仿宋_GB2312"/>
          <w:sz w:val="32"/>
          <w:szCs w:val="32"/>
        </w:rPr>
        <w:t>报</w:t>
      </w:r>
      <w:r>
        <w:rPr>
          <w:rFonts w:hint="eastAsia" w:ascii="Times New Roman" w:hAnsi="Times New Roman" w:eastAsia="仿宋_GB2312"/>
          <w:sz w:val="32"/>
          <w:szCs w:val="32"/>
          <w:lang w:val="en-US" w:eastAsia="zh-CN"/>
        </w:rPr>
        <w:t>预算</w:t>
      </w:r>
      <w:r>
        <w:rPr>
          <w:rFonts w:hint="eastAsia" w:ascii="Times New Roman" w:hAnsi="Times New Roman" w:eastAsia="仿宋_GB2312"/>
          <w:sz w:val="32"/>
          <w:szCs w:val="32"/>
        </w:rPr>
        <w:t>；预算绩效自评报告质量不高，未设置评价指标，无评分表，且没有对存在问题的相关分析</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预算绩效</w:t>
      </w:r>
      <w:r>
        <w:rPr>
          <w:rFonts w:hint="eastAsia" w:ascii="Times New Roman" w:hAnsi="Times New Roman" w:eastAsia="仿宋_GB2312"/>
          <w:sz w:val="32"/>
          <w:szCs w:val="32"/>
          <w:lang w:val="en-US" w:eastAsia="zh-CN"/>
        </w:rPr>
        <w:t>目标</w:t>
      </w:r>
      <w:r>
        <w:rPr>
          <w:rFonts w:hint="eastAsia" w:ascii="Times New Roman" w:hAnsi="Times New Roman" w:eastAsia="仿宋_GB2312"/>
          <w:sz w:val="32"/>
          <w:szCs w:val="32"/>
        </w:rPr>
        <w:t>管理工作有待加强。</w:t>
      </w:r>
    </w:p>
    <w:p w14:paraId="5753DBF0">
      <w:pPr>
        <w:pStyle w:val="5"/>
        <w:numPr>
          <w:ilvl w:val="0"/>
          <w:numId w:val="3"/>
        </w:numPr>
        <w:spacing w:before="0" w:line="560" w:lineRule="exact"/>
        <w:ind w:left="957" w:leftChars="212" w:hanging="321" w:hangingChars="100"/>
        <w:rPr>
          <w:rFonts w:ascii="Times New Roman" w:hAnsi="Times New Roman" w:eastAsia="仿宋_GB2312"/>
          <w:b/>
          <w:bCs/>
          <w:sz w:val="32"/>
          <w:szCs w:val="32"/>
        </w:rPr>
      </w:pPr>
      <w:r>
        <w:rPr>
          <w:rFonts w:hint="eastAsia" w:ascii="Times New Roman" w:hAnsi="Times New Roman" w:eastAsia="仿宋_GB2312"/>
          <w:b/>
          <w:bCs/>
          <w:sz w:val="32"/>
          <w:szCs w:val="32"/>
        </w:rPr>
        <w:t>部分专项资金支出审核不够严格</w:t>
      </w:r>
    </w:p>
    <w:p w14:paraId="364D28ED">
      <w:pPr>
        <w:spacing w:line="560" w:lineRule="exact"/>
        <w:ind w:firstLine="640" w:firstLineChars="200"/>
        <w:rPr>
          <w:sz w:val="32"/>
          <w:szCs w:val="32"/>
        </w:rPr>
      </w:pPr>
      <w:r>
        <w:rPr>
          <w:rFonts w:hint="eastAsia"/>
          <w:sz w:val="32"/>
          <w:szCs w:val="32"/>
          <w:lang w:eastAsia="zh-CN"/>
        </w:rPr>
        <w:t>市委政法委</w:t>
      </w:r>
      <w:r>
        <w:rPr>
          <w:rFonts w:hint="eastAsia"/>
          <w:sz w:val="32"/>
          <w:szCs w:val="32"/>
        </w:rPr>
        <w:t>未制定专项资金管理办法，部分专项资金支出审核不够严格。</w:t>
      </w:r>
    </w:p>
    <w:p w14:paraId="1DEB31A0">
      <w:pPr>
        <w:spacing w:line="560" w:lineRule="exact"/>
        <w:ind w:firstLine="640" w:firstLineChars="200"/>
        <w:rPr>
          <w:sz w:val="32"/>
          <w:szCs w:val="32"/>
        </w:rPr>
      </w:pPr>
      <w:r>
        <w:rPr>
          <w:rFonts w:hint="eastAsia"/>
          <w:sz w:val="32"/>
          <w:szCs w:val="32"/>
        </w:rPr>
        <w:t>一是专项资金中有11.35万元未专款专用，存在挤占、挪用现象，包括：2020年12月支付招考笔试面试费5.6万元、支付差旅费0.51万元、支付驻村补助及租金交通费0.93万元等，涉及金额11.35万元，占比0.85%，不属于本专项支出范围。</w:t>
      </w:r>
    </w:p>
    <w:p w14:paraId="23368605">
      <w:pPr>
        <w:spacing w:line="560" w:lineRule="exact"/>
        <w:ind w:firstLine="640" w:firstLineChars="200"/>
        <w:rPr>
          <w:sz w:val="32"/>
          <w:szCs w:val="32"/>
        </w:rPr>
      </w:pPr>
      <w:r>
        <w:rPr>
          <w:rFonts w:hint="eastAsia"/>
          <w:sz w:val="32"/>
          <w:szCs w:val="32"/>
        </w:rPr>
        <w:t>二是本专项监理费17.16万元本应从邵财预〔</w:t>
      </w:r>
      <w:r>
        <w:rPr>
          <w:sz w:val="32"/>
          <w:szCs w:val="32"/>
        </w:rPr>
        <w:t>2020</w:t>
      </w:r>
      <w:r>
        <w:rPr>
          <w:rFonts w:hint="eastAsia"/>
          <w:sz w:val="32"/>
          <w:szCs w:val="32"/>
        </w:rPr>
        <w:t>〕101号和邵财预〔</w:t>
      </w:r>
      <w:r>
        <w:rPr>
          <w:sz w:val="32"/>
          <w:szCs w:val="32"/>
        </w:rPr>
        <w:t>202</w:t>
      </w:r>
      <w:r>
        <w:rPr>
          <w:rFonts w:hint="eastAsia"/>
          <w:sz w:val="32"/>
          <w:szCs w:val="32"/>
        </w:rPr>
        <w:t>1〕0119号专项资金中支出，实际从邵财预备〔2020〕091号文中列支，占用其他预算资金指标。</w:t>
      </w:r>
    </w:p>
    <w:p w14:paraId="4C0C78DB">
      <w:pPr>
        <w:rPr>
          <w:b/>
          <w:bCs/>
        </w:rPr>
      </w:pPr>
      <w:r>
        <w:rPr>
          <w:rFonts w:hint="eastAsia"/>
        </w:rPr>
        <w:t xml:space="preserve"> </w:t>
      </w:r>
      <w:r>
        <w:rPr>
          <w:rFonts w:hint="eastAsia"/>
          <w:b/>
          <w:bCs/>
          <w:sz w:val="32"/>
          <w:szCs w:val="32"/>
        </w:rPr>
        <w:t xml:space="preserve">   3.项目管理不够规范</w:t>
      </w:r>
    </w:p>
    <w:p w14:paraId="438FF790">
      <w:pPr>
        <w:pStyle w:val="5"/>
        <w:spacing w:before="0"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本专项初验收报告无验收组成员签字，且初验收和终验收报告皆有遗留问题。截止现场评价日，终验收报告中仍有2个遗留问题未解决，分别是“与法律服务网络平台、安全风险主题库的对接工作，待甲方业务系统满足对接环境后进行数据同步展示”、“网格化实战应用、综合可视调度系统中网格员走访路径和定位网格员功能，网格员需要使用APP，甲方基于网络安全考虑该功能暂未开放，后续将根据甲方工作要求配合调整”。总平台硬件环境、网络安全等存在安全隐患，还需进一步整改完善，导致网络安全等级保护测评至现场评价日仍未完成。</w:t>
      </w:r>
    </w:p>
    <w:p w14:paraId="55E198A7">
      <w:pPr>
        <w:pStyle w:val="5"/>
        <w:spacing w:before="0" w:line="560" w:lineRule="exact"/>
        <w:ind w:firstLine="640" w:firstLineChars="200"/>
      </w:pPr>
      <w:r>
        <w:rPr>
          <w:rFonts w:hint="eastAsia" w:ascii="Times New Roman" w:hAnsi="Times New Roman" w:eastAsia="仿宋_GB2312"/>
          <w:sz w:val="32"/>
          <w:szCs w:val="32"/>
        </w:rPr>
        <w:t>经评价组现场核实，本专项共开设了10个子板块，其中平安考核板块截止现场评价日未投入使用；综合可视调度系统板块中“点位地图”功能不能正常使用，无法搜索到明细内容。</w:t>
      </w:r>
      <w:r>
        <w:rPr>
          <w:rFonts w:hint="eastAsia" w:ascii="Times New Roman" w:hAnsi="Times New Roman" w:eastAsia="仿宋_GB2312"/>
          <w:b/>
          <w:bCs/>
          <w:sz w:val="32"/>
          <w:szCs w:val="32"/>
        </w:rPr>
        <w:br w:type="textWrapping"/>
      </w:r>
      <w:r>
        <w:rPr>
          <w:rFonts w:hint="eastAsia"/>
          <w:b/>
          <w:bCs/>
        </w:rPr>
        <w:t xml:space="preserve">   </w:t>
      </w:r>
      <w:r>
        <w:rPr>
          <w:rFonts w:hint="eastAsia" w:ascii="Times New Roman" w:hAnsi="Times New Roman" w:eastAsia="仿宋_GB2312"/>
          <w:b/>
          <w:bCs/>
          <w:sz w:val="32"/>
          <w:szCs w:val="32"/>
        </w:rPr>
        <w:t xml:space="preserve">  </w:t>
      </w:r>
      <w:r>
        <w:rPr>
          <w:rFonts w:hint="eastAsia" w:ascii="Times New Roman" w:hAnsi="Times New Roman" w:eastAsia="仿宋_GB2312"/>
          <w:b/>
          <w:bCs/>
          <w:sz w:val="32"/>
          <w:szCs w:val="32"/>
          <w:lang w:val="en-US" w:eastAsia="zh-CN"/>
        </w:rPr>
        <w:t>4</w:t>
      </w:r>
      <w:r>
        <w:rPr>
          <w:rFonts w:hint="eastAsia" w:ascii="Times New Roman" w:hAnsi="Times New Roman" w:eastAsia="仿宋_GB2312"/>
          <w:b/>
          <w:bCs/>
          <w:sz w:val="32"/>
          <w:szCs w:val="32"/>
        </w:rPr>
        <w:t>.财务及档案管理不够严谨</w:t>
      </w:r>
      <w:r>
        <w:rPr>
          <w:rFonts w:hint="eastAsia" w:ascii="Times New Roman" w:hAnsi="Times New Roman" w:eastAsia="仿宋_GB2312"/>
          <w:b/>
          <w:bCs/>
          <w:sz w:val="32"/>
          <w:szCs w:val="32"/>
        </w:rPr>
        <w:br w:type="textWrapping"/>
      </w:r>
      <w:r>
        <w:rPr>
          <w:rFonts w:hint="eastAsia" w:ascii="Times New Roman" w:hAnsi="Times New Roman" w:eastAsia="仿宋_GB2312"/>
          <w:b/>
          <w:bCs/>
          <w:sz w:val="32"/>
          <w:szCs w:val="32"/>
        </w:rPr>
        <w:t xml:space="preserve">  </w:t>
      </w:r>
      <w:r>
        <w:rPr>
          <w:rFonts w:hint="eastAsia" w:ascii="Times New Roman" w:hAnsi="Times New Roman" w:eastAsia="仿宋_GB2312"/>
          <w:sz w:val="32"/>
          <w:szCs w:val="32"/>
        </w:rPr>
        <w:t xml:space="preserve">  一是部分账务处理不够及时，本专项于2021年11月完成终验收工作，但截止绩效评价日2022年7月20日，与本专项相关的硬件设备和系统等未转入固定资产或无形资产，仍</w:t>
      </w:r>
      <w:r>
        <w:rPr>
          <w:rFonts w:hint="eastAsia" w:ascii="Times New Roman" w:hAnsi="Times New Roman" w:eastAsia="仿宋_GB2312"/>
          <w:sz w:val="32"/>
          <w:szCs w:val="32"/>
          <w:lang w:val="en-US" w:eastAsia="zh-CN"/>
        </w:rPr>
        <w:t>处于</w:t>
      </w:r>
      <w:r>
        <w:rPr>
          <w:rFonts w:hint="eastAsia" w:ascii="Times New Roman" w:hAnsi="Times New Roman" w:eastAsia="仿宋_GB2312"/>
          <w:sz w:val="32"/>
          <w:szCs w:val="32"/>
        </w:rPr>
        <w:t>在建工程</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且未将本专项在资产管理系统中上报，</w:t>
      </w:r>
      <w:r>
        <w:rPr>
          <w:rFonts w:hint="eastAsia" w:ascii="Times New Roman" w:hAnsi="Times New Roman" w:eastAsia="仿宋_GB2312"/>
          <w:sz w:val="32"/>
          <w:szCs w:val="32"/>
          <w:lang w:eastAsia="zh-CN"/>
        </w:rPr>
        <w:t>市委政法委</w:t>
      </w:r>
      <w:r>
        <w:rPr>
          <w:rFonts w:hint="eastAsia" w:ascii="Times New Roman" w:hAnsi="Times New Roman" w:eastAsia="仿宋_GB2312"/>
          <w:sz w:val="32"/>
          <w:szCs w:val="32"/>
        </w:rPr>
        <w:t>也未建立资产台账；二是会计凭证制单和</w:t>
      </w:r>
      <w:r>
        <w:rPr>
          <w:rFonts w:hint="eastAsia" w:ascii="Times New Roman" w:hAnsi="Times New Roman" w:eastAsia="仿宋_GB2312"/>
          <w:sz w:val="32"/>
          <w:szCs w:val="32"/>
          <w:lang w:val="en-US" w:eastAsia="zh-CN"/>
        </w:rPr>
        <w:t>复</w:t>
      </w:r>
      <w:r>
        <w:rPr>
          <w:rFonts w:hint="eastAsia" w:ascii="Times New Roman" w:hAnsi="Times New Roman" w:eastAsia="仿宋_GB2312"/>
          <w:sz w:val="32"/>
          <w:szCs w:val="32"/>
        </w:rPr>
        <w:t>核为同一人，不符合《会计基础工作规范》相关要求；三是部分项目档案资料归档不完整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如：档案中未见本专项可行性研究报告和财政评审相关资料。</w:t>
      </w:r>
      <w:r>
        <w:rPr>
          <w:rFonts w:hint="eastAsia" w:ascii="Times New Roman" w:hAnsi="Times New Roman" w:eastAsia="仿宋_GB2312"/>
          <w:sz w:val="32"/>
          <w:szCs w:val="32"/>
        </w:rPr>
        <w:br w:type="textWrapping"/>
      </w:r>
      <w:r>
        <w:rPr>
          <w:rFonts w:hint="eastAsia" w:ascii="Times New Roman" w:hAnsi="Times New Roman" w:eastAsia="仿宋_GB2312"/>
          <w:sz w:val="32"/>
          <w:szCs w:val="32"/>
        </w:rPr>
        <w:t xml:space="preserve">   </w:t>
      </w:r>
      <w:r>
        <w:rPr>
          <w:rFonts w:hint="eastAsia" w:ascii="Times New Roman" w:hAnsi="Times New Roman" w:eastAsia="仿宋_GB2312"/>
          <w:b/>
          <w:bCs/>
          <w:sz w:val="32"/>
          <w:szCs w:val="32"/>
        </w:rPr>
        <w:t xml:space="preserve"> 原因分析</w:t>
      </w:r>
      <w:r>
        <w:rPr>
          <w:rFonts w:hint="eastAsia" w:ascii="Times New Roman" w:hAnsi="Times New Roman" w:eastAsia="仿宋_GB2312"/>
          <w:sz w:val="32"/>
          <w:szCs w:val="32"/>
        </w:rPr>
        <w:t>：对预算绩效管理认识不足，对预算绩效目标设置重视度不够；档案管理和制度建设意识不高，未制定本专项资金管理办法，资金使用和项目管理无具体实施细则；项目管理不规范；</w:t>
      </w:r>
      <w:r>
        <w:rPr>
          <w:rFonts w:hint="eastAsia" w:ascii="Times New Roman" w:hAnsi="Times New Roman" w:eastAsia="仿宋_GB2312"/>
          <w:sz w:val="32"/>
          <w:szCs w:val="32"/>
          <w:lang w:eastAsia="zh-CN"/>
        </w:rPr>
        <w:t>市委政法委</w:t>
      </w:r>
      <w:r>
        <w:rPr>
          <w:rFonts w:hint="eastAsia" w:ascii="Times New Roman" w:hAnsi="Times New Roman" w:eastAsia="仿宋_GB2312"/>
          <w:sz w:val="32"/>
          <w:szCs w:val="32"/>
        </w:rPr>
        <w:t>无专职财务人员。</w:t>
      </w:r>
    </w:p>
    <w:p w14:paraId="263950ED">
      <w:pPr>
        <w:numPr>
          <w:ilvl w:val="0"/>
          <w:numId w:val="0"/>
        </w:numPr>
        <w:spacing w:line="600" w:lineRule="exact"/>
        <w:ind w:firstLine="640" w:firstLineChars="200"/>
        <w:outlineLvl w:val="0"/>
        <w:rPr>
          <w:rFonts w:eastAsia="黑体"/>
          <w:sz w:val="32"/>
          <w:szCs w:val="32"/>
        </w:rPr>
      </w:pPr>
      <w:bookmarkStart w:id="7" w:name="_Toc24463"/>
      <w:r>
        <w:rPr>
          <w:rFonts w:hint="eastAsia" w:eastAsia="黑体"/>
          <w:sz w:val="32"/>
          <w:szCs w:val="32"/>
          <w:lang w:val="en-US" w:eastAsia="zh-CN"/>
        </w:rPr>
        <w:t>七、</w:t>
      </w:r>
      <w:r>
        <w:rPr>
          <w:rFonts w:hint="eastAsia" w:eastAsia="黑体"/>
          <w:sz w:val="32"/>
          <w:szCs w:val="32"/>
        </w:rPr>
        <w:t>有关建议</w:t>
      </w:r>
      <w:r>
        <w:rPr>
          <w:rFonts w:hint="eastAsia" w:eastAsia="黑体"/>
          <w:sz w:val="32"/>
          <w:szCs w:val="32"/>
        </w:rPr>
        <w:br w:type="textWrapping"/>
      </w:r>
      <w:r>
        <w:rPr>
          <w:rFonts w:hint="eastAsia" w:eastAsia="黑体"/>
          <w:sz w:val="32"/>
          <w:szCs w:val="32"/>
        </w:rPr>
        <w:t xml:space="preserve">  </w:t>
      </w:r>
      <w:r>
        <w:rPr>
          <w:rFonts w:hint="eastAsia" w:eastAsia="黑体"/>
          <w:sz w:val="32"/>
          <w:szCs w:val="32"/>
          <w:lang w:val="en-US" w:eastAsia="zh-CN"/>
        </w:rPr>
        <w:t xml:space="preserve"> </w:t>
      </w:r>
      <w:r>
        <w:rPr>
          <w:rFonts w:hint="eastAsia" w:eastAsia="黑体"/>
          <w:sz w:val="32"/>
          <w:szCs w:val="32"/>
        </w:rPr>
        <w:t>（</w:t>
      </w:r>
      <w:r>
        <w:rPr>
          <w:rFonts w:hint="eastAsia" w:eastAsia="楷体_GB2312"/>
          <w:b/>
          <w:sz w:val="32"/>
          <w:szCs w:val="32"/>
        </w:rPr>
        <w:t>一）强化预算绩效管理意识</w:t>
      </w:r>
      <w:bookmarkEnd w:id="7"/>
    </w:p>
    <w:p w14:paraId="34E2A095">
      <w:pPr>
        <w:spacing w:line="560" w:lineRule="exact"/>
        <w:ind w:firstLine="640" w:firstLineChars="200"/>
        <w:rPr>
          <w:rFonts w:ascii="仿宋_GB2312"/>
          <w:color w:val="000000"/>
          <w:sz w:val="32"/>
          <w:szCs w:val="32"/>
        </w:rPr>
      </w:pPr>
      <w:r>
        <w:rPr>
          <w:rFonts w:hint="eastAsia" w:ascii="仿宋_GB2312"/>
          <w:color w:val="000000"/>
          <w:sz w:val="32"/>
          <w:szCs w:val="32"/>
        </w:rPr>
        <w:t>建议增强预算绩效</w:t>
      </w:r>
      <w:r>
        <w:rPr>
          <w:rFonts w:hint="eastAsia" w:ascii="仿宋_GB2312"/>
          <w:color w:val="000000"/>
          <w:sz w:val="32"/>
          <w:szCs w:val="32"/>
          <w:lang w:val="en-US" w:eastAsia="zh-CN"/>
        </w:rPr>
        <w:t>目标</w:t>
      </w:r>
      <w:r>
        <w:rPr>
          <w:rFonts w:hint="eastAsia" w:ascii="仿宋_GB2312"/>
          <w:color w:val="000000"/>
          <w:sz w:val="32"/>
          <w:szCs w:val="32"/>
        </w:rPr>
        <w:t>管理意识，完善专项资金预算绩效管理机制。一是</w:t>
      </w:r>
      <w:r>
        <w:rPr>
          <w:rFonts w:hint="eastAsia" w:ascii="仿宋_GB2312"/>
          <w:color w:val="000000"/>
          <w:sz w:val="32"/>
          <w:szCs w:val="32"/>
          <w:lang w:eastAsia="zh-CN"/>
        </w:rPr>
        <w:t>市委政法委</w:t>
      </w:r>
      <w:r>
        <w:rPr>
          <w:rFonts w:hint="eastAsia" w:ascii="仿宋_GB2312"/>
          <w:color w:val="000000"/>
          <w:sz w:val="32"/>
          <w:szCs w:val="32"/>
        </w:rPr>
        <w:t>应依据项目目标整体性和重要性，设定清晰明确、可量化的绩效</w:t>
      </w:r>
      <w:r>
        <w:rPr>
          <w:rFonts w:hint="eastAsia" w:ascii="仿宋_GB2312"/>
          <w:color w:val="000000"/>
          <w:sz w:val="32"/>
          <w:szCs w:val="32"/>
          <w:lang w:val="en-US" w:eastAsia="zh-CN"/>
        </w:rPr>
        <w:t>目标</w:t>
      </w:r>
      <w:r>
        <w:rPr>
          <w:rFonts w:hint="eastAsia" w:ascii="仿宋_GB2312"/>
          <w:color w:val="000000"/>
          <w:sz w:val="32"/>
          <w:szCs w:val="32"/>
        </w:rPr>
        <w:t>指标，充分发挥绩效目标在项目实施及预算执行过程中的管理和规范作用；二是</w:t>
      </w:r>
      <w:r>
        <w:rPr>
          <w:rFonts w:hint="eastAsia" w:ascii="仿宋_GB2312"/>
          <w:color w:val="000000"/>
          <w:sz w:val="32"/>
          <w:szCs w:val="32"/>
          <w:lang w:eastAsia="zh-CN"/>
        </w:rPr>
        <w:t>市委政法委</w:t>
      </w:r>
      <w:r>
        <w:rPr>
          <w:rFonts w:hint="eastAsia" w:ascii="仿宋_GB2312"/>
          <w:color w:val="000000"/>
          <w:sz w:val="32"/>
          <w:szCs w:val="32"/>
        </w:rPr>
        <w:t>要认真做好预算绩效自评工作，建立科学合理的评价体系，逐步形成自我约束机制。</w:t>
      </w:r>
    </w:p>
    <w:p w14:paraId="01B5102E">
      <w:pPr>
        <w:spacing w:line="560" w:lineRule="exact"/>
        <w:ind w:left="600" w:leftChars="200"/>
        <w:outlineLvl w:val="1"/>
        <w:rPr>
          <w:rFonts w:eastAsia="楷体_GB2312"/>
          <w:b/>
          <w:sz w:val="32"/>
          <w:szCs w:val="32"/>
        </w:rPr>
      </w:pPr>
      <w:r>
        <w:rPr>
          <w:rFonts w:hint="eastAsia" w:eastAsia="楷体_GB2312"/>
          <w:b/>
          <w:sz w:val="32"/>
          <w:szCs w:val="32"/>
        </w:rPr>
        <w:t>（二）制定专项资金管理办法</w:t>
      </w:r>
    </w:p>
    <w:p w14:paraId="0A08CC56">
      <w:pPr>
        <w:spacing w:line="560" w:lineRule="exact"/>
        <w:ind w:firstLine="640" w:firstLineChars="200"/>
      </w:pPr>
      <w:r>
        <w:rPr>
          <w:rFonts w:ascii="仿宋_GB2312"/>
          <w:color w:val="000000"/>
          <w:sz w:val="32"/>
          <w:szCs w:val="32"/>
        </w:rPr>
        <w:t>建议</w:t>
      </w:r>
      <w:r>
        <w:rPr>
          <w:rFonts w:hint="eastAsia" w:ascii="仿宋_GB2312"/>
          <w:color w:val="000000"/>
          <w:sz w:val="32"/>
          <w:szCs w:val="32"/>
          <w:lang w:eastAsia="zh-CN"/>
        </w:rPr>
        <w:t>市委政法委</w:t>
      </w:r>
      <w:r>
        <w:rPr>
          <w:rFonts w:ascii="仿宋_GB2312"/>
          <w:color w:val="000000"/>
          <w:sz w:val="32"/>
          <w:szCs w:val="32"/>
        </w:rPr>
        <w:t>针对</w:t>
      </w:r>
      <w:r>
        <w:rPr>
          <w:rFonts w:hint="eastAsia" w:ascii="仿宋_GB2312"/>
          <w:color w:val="000000"/>
          <w:sz w:val="32"/>
          <w:szCs w:val="32"/>
        </w:rPr>
        <w:t>本</w:t>
      </w:r>
      <w:r>
        <w:rPr>
          <w:rFonts w:ascii="仿宋_GB2312"/>
          <w:color w:val="000000"/>
          <w:sz w:val="32"/>
          <w:szCs w:val="32"/>
        </w:rPr>
        <w:t>专项制定专项资金管理办法，明确专项资金</w:t>
      </w:r>
      <w:r>
        <w:rPr>
          <w:rFonts w:hint="eastAsia" w:ascii="仿宋_GB2312"/>
          <w:color w:val="000000"/>
          <w:sz w:val="32"/>
          <w:szCs w:val="32"/>
        </w:rPr>
        <w:t>实行“专人管理、专账核算、专项使用”，以便进一步规范和加强财政专项资金管理,切实提高资金使用效益。同时，还应针对不同的专项进一步细化专项管理实施细则，使资金使用和项目运行、管理都有规可依，有章可循。对不按规定和批准的用途使用资金等违规行为，应予以及时纠正，严肃处理，确保专项资金使用的合规性、科学性和完整性。</w:t>
      </w:r>
    </w:p>
    <w:p w14:paraId="20FA2FA1">
      <w:pPr>
        <w:spacing w:line="560" w:lineRule="exact"/>
        <w:ind w:firstLine="643" w:firstLineChars="200"/>
        <w:outlineLvl w:val="1"/>
      </w:pPr>
      <w:r>
        <w:rPr>
          <w:rFonts w:hint="eastAsia" w:eastAsia="楷体_GB2312"/>
          <w:b/>
          <w:sz w:val="32"/>
          <w:szCs w:val="32"/>
        </w:rPr>
        <w:t>（三）完善项目管理和档案管理</w:t>
      </w:r>
    </w:p>
    <w:p w14:paraId="03B57F20">
      <w:pPr>
        <w:pStyle w:val="5"/>
        <w:spacing w:before="0" w:line="560" w:lineRule="exact"/>
        <w:ind w:firstLine="640" w:firstLineChars="200"/>
        <w:rPr>
          <w:rFonts w:ascii="仿宋_GB2312" w:hAnsi="Times New Roman" w:eastAsia="仿宋_GB2312"/>
          <w:color w:val="000000"/>
          <w:sz w:val="32"/>
          <w:szCs w:val="32"/>
        </w:rPr>
      </w:pPr>
      <w:r>
        <w:rPr>
          <w:rFonts w:hint="eastAsia" w:ascii="仿宋_GB2312" w:hAnsi="Times New Roman" w:eastAsia="仿宋_GB2312"/>
          <w:color w:val="000000"/>
          <w:sz w:val="32"/>
          <w:szCs w:val="32"/>
        </w:rPr>
        <w:t>加快</w:t>
      </w:r>
      <w:r>
        <w:rPr>
          <w:rFonts w:hint="eastAsia" w:ascii="仿宋_GB2312" w:hAnsi="Times New Roman" w:eastAsia="仿宋_GB2312"/>
          <w:color w:val="000000"/>
          <w:sz w:val="32"/>
          <w:szCs w:val="32"/>
          <w:lang w:val="en-US" w:eastAsia="zh-CN"/>
        </w:rPr>
        <w:t>处理</w:t>
      </w:r>
      <w:r>
        <w:rPr>
          <w:rFonts w:hint="eastAsia" w:ascii="仿宋_GB2312" w:hAnsi="Times New Roman" w:eastAsia="仿宋_GB2312"/>
          <w:color w:val="000000"/>
          <w:sz w:val="32"/>
          <w:szCs w:val="32"/>
        </w:rPr>
        <w:t>、整改终验收中的遗留问题</w:t>
      </w:r>
      <w:r>
        <w:rPr>
          <w:rFonts w:hint="eastAsia" w:ascii="仿宋_GB2312" w:hAnsi="Times New Roman" w:eastAsia="仿宋_GB2312"/>
          <w:color w:val="000000"/>
          <w:sz w:val="32"/>
          <w:szCs w:val="32"/>
          <w:lang w:eastAsia="zh-CN"/>
        </w:rPr>
        <w:t>，</w:t>
      </w:r>
      <w:r>
        <w:rPr>
          <w:rFonts w:hint="eastAsia" w:ascii="仿宋_GB2312" w:hAnsi="Times New Roman" w:eastAsia="仿宋_GB2312"/>
          <w:color w:val="000000"/>
          <w:sz w:val="32"/>
          <w:szCs w:val="32"/>
        </w:rPr>
        <w:t>改进、完善平安考核和综合可视调度系统板块相关功能，尽早恢复正常使用</w:t>
      </w:r>
      <w:r>
        <w:rPr>
          <w:rFonts w:hint="eastAsia" w:ascii="仿宋_GB2312" w:hAnsi="Times New Roman" w:eastAsia="仿宋_GB2312"/>
          <w:color w:val="000000"/>
          <w:sz w:val="32"/>
          <w:szCs w:val="32"/>
          <w:lang w:eastAsia="zh-CN"/>
        </w:rPr>
        <w:t>；</w:t>
      </w:r>
      <w:r>
        <w:rPr>
          <w:rFonts w:hint="eastAsia" w:ascii="仿宋_GB2312" w:hAnsi="Times New Roman" w:eastAsia="仿宋_GB2312"/>
          <w:color w:val="000000"/>
          <w:sz w:val="32"/>
          <w:szCs w:val="32"/>
        </w:rPr>
        <w:t>改</w:t>
      </w:r>
      <w:r>
        <w:rPr>
          <w:rFonts w:hint="eastAsia" w:ascii="仿宋_GB2312" w:hAnsi="Times New Roman" w:eastAsia="仿宋_GB2312"/>
          <w:color w:val="000000"/>
          <w:sz w:val="32"/>
          <w:szCs w:val="32"/>
          <w:lang w:val="en-US" w:eastAsia="zh-CN"/>
        </w:rPr>
        <w:t>进</w:t>
      </w:r>
      <w:r>
        <w:rPr>
          <w:rFonts w:hint="eastAsia" w:ascii="仿宋_GB2312" w:hAnsi="Times New Roman" w:eastAsia="仿宋_GB2312"/>
          <w:color w:val="000000"/>
          <w:sz w:val="32"/>
          <w:szCs w:val="32"/>
        </w:rPr>
        <w:t>、完善总平台硬件环境、软件功能、网络安全等内容，促使顺利完成并通过网络安全等级保护测评；加强对项目全过程产生的重要资料进行归档管理，具体包括项目调研、可行性研究、评估、决策、计划、勘测、设计、施工、监理，调试、实施准备、变更、竣工、试用（使用）、竣工结算审计、固定资产移交等资料。</w:t>
      </w:r>
    </w:p>
    <w:p w14:paraId="522207DB">
      <w:pPr>
        <w:pStyle w:val="5"/>
        <w:spacing w:before="0" w:line="560" w:lineRule="exact"/>
        <w:ind w:firstLine="643" w:firstLineChars="200"/>
        <w:outlineLvl w:val="1"/>
        <w:rPr>
          <w:rFonts w:ascii="Times New Roman" w:hAnsi="Times New Roman" w:eastAsia="楷体_GB2312"/>
          <w:b/>
          <w:sz w:val="32"/>
          <w:szCs w:val="32"/>
        </w:rPr>
      </w:pPr>
      <w:r>
        <w:rPr>
          <w:rFonts w:hint="eastAsia" w:ascii="Times New Roman" w:hAnsi="Times New Roman" w:eastAsia="楷体_GB2312"/>
          <w:b/>
          <w:sz w:val="32"/>
          <w:szCs w:val="32"/>
        </w:rPr>
        <w:t>（四）加强财务管理，进一步夯实财会核算基础工作</w:t>
      </w:r>
    </w:p>
    <w:p w14:paraId="07136892">
      <w:pPr>
        <w:spacing w:line="560" w:lineRule="exact"/>
        <w:ind w:firstLine="640" w:firstLineChars="200"/>
        <w:rPr>
          <w:rFonts w:hint="eastAsia" w:ascii="仿宋_GB2312"/>
          <w:sz w:val="32"/>
          <w:szCs w:val="32"/>
        </w:rPr>
      </w:pPr>
      <w:r>
        <w:rPr>
          <w:rFonts w:hint="eastAsia" w:ascii="仿宋_GB2312"/>
          <w:color w:val="000000"/>
          <w:sz w:val="32"/>
          <w:szCs w:val="32"/>
        </w:rPr>
        <w:t>建</w:t>
      </w:r>
      <w:r>
        <w:rPr>
          <w:rFonts w:ascii="仿宋_GB2312"/>
          <w:color w:val="000000"/>
          <w:sz w:val="32"/>
          <w:szCs w:val="32"/>
        </w:rPr>
        <w:t>议</w:t>
      </w:r>
      <w:r>
        <w:rPr>
          <w:rFonts w:hint="eastAsia" w:ascii="仿宋_GB2312"/>
          <w:color w:val="000000"/>
          <w:sz w:val="32"/>
          <w:szCs w:val="32"/>
          <w:lang w:eastAsia="zh-CN"/>
        </w:rPr>
        <w:t>市委政法委</w:t>
      </w:r>
      <w:r>
        <w:rPr>
          <w:rFonts w:ascii="仿宋_GB2312"/>
          <w:color w:val="000000"/>
          <w:sz w:val="32"/>
          <w:szCs w:val="32"/>
        </w:rPr>
        <w:t>严格按照《会计法》</w:t>
      </w:r>
      <w:r>
        <w:rPr>
          <w:rFonts w:hint="eastAsia" w:ascii="仿宋_GB2312"/>
          <w:color w:val="000000"/>
          <w:sz w:val="32"/>
          <w:szCs w:val="32"/>
        </w:rPr>
        <w:t>、《会计基础工作规范》、</w:t>
      </w:r>
      <w:r>
        <w:rPr>
          <w:rFonts w:ascii="仿宋_GB2312"/>
          <w:color w:val="000000"/>
          <w:sz w:val="32"/>
          <w:szCs w:val="32"/>
        </w:rPr>
        <w:t>《财务管理制度》等规定进行财务管理，</w:t>
      </w:r>
      <w:r>
        <w:rPr>
          <w:rFonts w:hint="eastAsia" w:ascii="仿宋_GB2312"/>
          <w:color w:val="000000"/>
          <w:sz w:val="32"/>
          <w:szCs w:val="32"/>
        </w:rPr>
        <w:t>具体做到以下几点：一是将本专项相关硬件设备与系统及时转固定资产或者无形资产，并建立资产台账，加强资产管理；</w:t>
      </w:r>
      <w:r>
        <w:rPr>
          <w:rFonts w:hint="eastAsia" w:ascii="仿宋_GB2312"/>
          <w:sz w:val="32"/>
          <w:szCs w:val="32"/>
        </w:rPr>
        <w:t>二是建立财务人员相互制衡机制，明确会计凭证制单和审核人员，加强会计日常监督；三是必要时可以设立财务岗位，聘请财务专职人员。</w:t>
      </w:r>
    </w:p>
    <w:p w14:paraId="4236FF14">
      <w:pPr>
        <w:pStyle w:val="7"/>
        <w:rPr>
          <w:rFonts w:hint="eastAsia" w:ascii="仿宋_GB2312"/>
          <w:sz w:val="32"/>
          <w:szCs w:val="32"/>
        </w:rPr>
      </w:pPr>
    </w:p>
    <w:p w14:paraId="429B7D5A">
      <w:pPr>
        <w:pStyle w:val="7"/>
        <w:rPr>
          <w:rFonts w:hint="eastAsia" w:ascii="仿宋_GB2312"/>
          <w:sz w:val="32"/>
          <w:szCs w:val="32"/>
          <w:lang w:val="en-US" w:eastAsia="zh-CN"/>
        </w:rPr>
      </w:pPr>
      <w:r>
        <w:rPr>
          <w:rFonts w:hint="eastAsia" w:ascii="仿宋_GB2312"/>
          <w:sz w:val="32"/>
          <w:szCs w:val="32"/>
          <w:lang w:val="en-US" w:eastAsia="zh-CN"/>
        </w:rPr>
        <w:t xml:space="preserve">  </w:t>
      </w:r>
    </w:p>
    <w:p w14:paraId="276E9F81">
      <w:pPr>
        <w:pStyle w:val="7"/>
        <w:rPr>
          <w:rFonts w:hint="eastAsia" w:ascii="仿宋_GB2312"/>
          <w:sz w:val="32"/>
          <w:szCs w:val="32"/>
          <w:lang w:val="en-US" w:eastAsia="zh-CN"/>
        </w:rPr>
      </w:pPr>
    </w:p>
    <w:p w14:paraId="7931F421">
      <w:pPr>
        <w:pStyle w:val="7"/>
        <w:rPr>
          <w:rFonts w:hint="eastAsia" w:ascii="仿宋_GB2312"/>
          <w:sz w:val="32"/>
          <w:szCs w:val="32"/>
          <w:lang w:val="en-US" w:eastAsia="zh-CN"/>
        </w:rPr>
      </w:pPr>
    </w:p>
    <w:p w14:paraId="7A99EE28">
      <w:pPr>
        <w:pStyle w:val="7"/>
        <w:rPr>
          <w:rFonts w:hint="eastAsia" w:ascii="仿宋_GB2312"/>
          <w:sz w:val="32"/>
          <w:szCs w:val="32"/>
          <w:lang w:val="en-US" w:eastAsia="zh-CN"/>
        </w:rPr>
      </w:pPr>
    </w:p>
    <w:p w14:paraId="1279E435">
      <w:pPr>
        <w:pStyle w:val="7"/>
        <w:rPr>
          <w:rFonts w:hint="eastAsia" w:ascii="仿宋_GB2312"/>
          <w:sz w:val="32"/>
          <w:szCs w:val="32"/>
          <w:lang w:val="en-US" w:eastAsia="zh-CN"/>
        </w:rPr>
      </w:pPr>
    </w:p>
    <w:p w14:paraId="3D6AC411">
      <w:pPr>
        <w:pStyle w:val="7"/>
        <w:rPr>
          <w:rFonts w:hint="eastAsia" w:ascii="仿宋_GB2312"/>
          <w:sz w:val="32"/>
          <w:szCs w:val="32"/>
          <w:lang w:val="en-US" w:eastAsia="zh-CN"/>
        </w:rPr>
      </w:pPr>
    </w:p>
    <w:p w14:paraId="0D3503ED">
      <w:pPr>
        <w:pStyle w:val="7"/>
        <w:rPr>
          <w:rFonts w:hint="eastAsia" w:ascii="仿宋_GB2312"/>
          <w:sz w:val="32"/>
          <w:szCs w:val="32"/>
          <w:lang w:val="en-US" w:eastAsia="zh-CN"/>
        </w:rPr>
      </w:pPr>
    </w:p>
    <w:p w14:paraId="3717A94F">
      <w:pPr>
        <w:spacing w:line="600" w:lineRule="exact"/>
        <w:jc w:val="right"/>
        <w:rPr>
          <w:rFonts w:hint="eastAsia"/>
          <w:sz w:val="32"/>
          <w:szCs w:val="32"/>
        </w:rPr>
      </w:pPr>
    </w:p>
    <w:p w14:paraId="66142418">
      <w:pPr>
        <w:pStyle w:val="7"/>
        <w:rPr>
          <w:rFonts w:hint="eastAsia"/>
        </w:rPr>
      </w:pPr>
      <w:bookmarkStart w:id="8" w:name="_Toc18225"/>
      <w:bookmarkStart w:id="9" w:name="_GoBack"/>
      <w:bookmarkEnd w:id="9"/>
    </w:p>
    <w:p w14:paraId="3462F0F9">
      <w:pPr>
        <w:keepNext/>
        <w:keepLines/>
        <w:jc w:val="left"/>
        <w:outlineLvl w:val="0"/>
        <w:rPr>
          <w:rFonts w:hint="eastAsia" w:ascii="仿宋" w:hAnsi="仿宋" w:eastAsia="仿宋" w:cs="仿宋"/>
          <w:b/>
          <w:bCs/>
          <w:color w:val="000000"/>
          <w:sz w:val="32"/>
          <w:szCs w:val="32"/>
        </w:rPr>
      </w:pPr>
    </w:p>
    <w:bookmarkEnd w:id="8"/>
    <w:p w14:paraId="4DF77849"/>
    <w:sectPr>
      <w:footerReference r:id="rId3" w:type="default"/>
      <w:pgSz w:w="11906" w:h="16838"/>
      <w:pgMar w:top="1984" w:right="1531" w:bottom="1984" w:left="1531" w:header="851" w:footer="992" w:gutter="0"/>
      <w:cols w:space="0" w:num="1"/>
      <w:docGrid w:type="lines" w:linePitch="44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decorative"/>
    <w:pitch w:val="default"/>
    <w:sig w:usb0="00000000" w:usb1="00000000" w:usb2="00000000" w:usb3="00000000" w:csb0="80000000" w:csb1="00000000"/>
  </w:font>
  <w:font w:name="方正小标宋简体">
    <w:altName w:val="微软雅黑"/>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B5E0">
    <w:pPr>
      <w:pStyle w:val="8"/>
      <w:jc w:val="center"/>
      <w:rPr>
        <w:sz w:val="24"/>
        <w:szCs w:val="24"/>
      </w:rPr>
    </w:pPr>
    <w:r>
      <w:rPr>
        <w:kern w:val="0"/>
        <w:sz w:val="24"/>
        <w:szCs w:val="24"/>
      </w:rPr>
      <w:t xml:space="preserve">- </w:t>
    </w:r>
    <w:r>
      <w:rPr>
        <w:kern w:val="0"/>
        <w:sz w:val="24"/>
        <w:szCs w:val="24"/>
      </w:rPr>
      <w:fldChar w:fldCharType="begin"/>
    </w:r>
    <w:r>
      <w:rPr>
        <w:kern w:val="0"/>
        <w:sz w:val="24"/>
        <w:szCs w:val="24"/>
      </w:rPr>
      <w:instrText xml:space="preserve"> PAGE </w:instrText>
    </w:r>
    <w:r>
      <w:rPr>
        <w:kern w:val="0"/>
        <w:sz w:val="24"/>
        <w:szCs w:val="24"/>
      </w:rPr>
      <w:fldChar w:fldCharType="separate"/>
    </w:r>
    <w:r>
      <w:rPr>
        <w:kern w:val="0"/>
        <w:sz w:val="24"/>
        <w:szCs w:val="24"/>
      </w:rPr>
      <w:t>6</w:t>
    </w:r>
    <w:r>
      <w:rPr>
        <w:kern w:val="0"/>
        <w:sz w:val="24"/>
        <w:szCs w:val="24"/>
      </w:rPr>
      <w:fldChar w:fldCharType="end"/>
    </w:r>
    <w:r>
      <w:rPr>
        <w:kern w:val="0"/>
        <w:sz w:val="24"/>
        <w:szCs w:val="24"/>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413D0"/>
    <w:multiLevelType w:val="singleLevel"/>
    <w:tmpl w:val="CA1413D0"/>
    <w:lvl w:ilvl="0" w:tentative="0">
      <w:start w:val="1"/>
      <w:numFmt w:val="chineseCounting"/>
      <w:suff w:val="nothing"/>
      <w:lvlText w:val="（%1）"/>
      <w:lvlJc w:val="left"/>
      <w:rPr>
        <w:rFonts w:hint="eastAsia"/>
      </w:rPr>
    </w:lvl>
  </w:abstractNum>
  <w:abstractNum w:abstractNumId="1">
    <w:nsid w:val="D320251F"/>
    <w:multiLevelType w:val="singleLevel"/>
    <w:tmpl w:val="D320251F"/>
    <w:lvl w:ilvl="0" w:tentative="0">
      <w:start w:val="2"/>
      <w:numFmt w:val="decimal"/>
      <w:lvlText w:val="%1."/>
      <w:lvlJc w:val="left"/>
      <w:pPr>
        <w:tabs>
          <w:tab w:val="left" w:pos="312"/>
        </w:tabs>
      </w:pPr>
    </w:lvl>
  </w:abstractNum>
  <w:abstractNum w:abstractNumId="2">
    <w:nsid w:val="6D16D2D2"/>
    <w:multiLevelType w:val="singleLevel"/>
    <w:tmpl w:val="6D16D2D2"/>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NDFhMjQxMzdmMjRiNjdjMWQwMjQ1Njc0MDQ1NjAifQ=="/>
  </w:docVars>
  <w:rsids>
    <w:rsidRoot w:val="5DA54480"/>
    <w:rsid w:val="000267AD"/>
    <w:rsid w:val="000E10B6"/>
    <w:rsid w:val="002D2D7C"/>
    <w:rsid w:val="00385B62"/>
    <w:rsid w:val="0046176F"/>
    <w:rsid w:val="004A375B"/>
    <w:rsid w:val="005606ED"/>
    <w:rsid w:val="005F65CD"/>
    <w:rsid w:val="006D33CB"/>
    <w:rsid w:val="006F3135"/>
    <w:rsid w:val="007756C4"/>
    <w:rsid w:val="00785B46"/>
    <w:rsid w:val="007F5350"/>
    <w:rsid w:val="0083348C"/>
    <w:rsid w:val="0094524C"/>
    <w:rsid w:val="0097068D"/>
    <w:rsid w:val="00AE30B0"/>
    <w:rsid w:val="00B726DD"/>
    <w:rsid w:val="00BB5C45"/>
    <w:rsid w:val="00FC02C6"/>
    <w:rsid w:val="01201F55"/>
    <w:rsid w:val="012256F0"/>
    <w:rsid w:val="01292116"/>
    <w:rsid w:val="012C7F4E"/>
    <w:rsid w:val="017E6F26"/>
    <w:rsid w:val="01D21140"/>
    <w:rsid w:val="021E779E"/>
    <w:rsid w:val="02323EEF"/>
    <w:rsid w:val="02374643"/>
    <w:rsid w:val="02420E41"/>
    <w:rsid w:val="025F28B4"/>
    <w:rsid w:val="026779BA"/>
    <w:rsid w:val="026A770D"/>
    <w:rsid w:val="02780E2B"/>
    <w:rsid w:val="027F0C49"/>
    <w:rsid w:val="02850702"/>
    <w:rsid w:val="02AF52D2"/>
    <w:rsid w:val="02C17DD7"/>
    <w:rsid w:val="02C72207"/>
    <w:rsid w:val="02CD3A5F"/>
    <w:rsid w:val="02D212D8"/>
    <w:rsid w:val="02DB3118"/>
    <w:rsid w:val="02FC0103"/>
    <w:rsid w:val="03004097"/>
    <w:rsid w:val="0301396B"/>
    <w:rsid w:val="031B2C7F"/>
    <w:rsid w:val="03305AA7"/>
    <w:rsid w:val="03426194"/>
    <w:rsid w:val="03681C3C"/>
    <w:rsid w:val="037360A7"/>
    <w:rsid w:val="03896409"/>
    <w:rsid w:val="03D54524"/>
    <w:rsid w:val="03D939CB"/>
    <w:rsid w:val="03DB240E"/>
    <w:rsid w:val="03E272F9"/>
    <w:rsid w:val="04262775"/>
    <w:rsid w:val="042B3B79"/>
    <w:rsid w:val="04351B1E"/>
    <w:rsid w:val="04380670"/>
    <w:rsid w:val="0438417A"/>
    <w:rsid w:val="04477C7C"/>
    <w:rsid w:val="045312C8"/>
    <w:rsid w:val="04673CA2"/>
    <w:rsid w:val="04831149"/>
    <w:rsid w:val="04844854"/>
    <w:rsid w:val="04AA38CE"/>
    <w:rsid w:val="04CE46B1"/>
    <w:rsid w:val="04E40B3F"/>
    <w:rsid w:val="05040E9A"/>
    <w:rsid w:val="05055566"/>
    <w:rsid w:val="05092FAB"/>
    <w:rsid w:val="05163267"/>
    <w:rsid w:val="053E6F8E"/>
    <w:rsid w:val="054B208D"/>
    <w:rsid w:val="054B711F"/>
    <w:rsid w:val="056D0B77"/>
    <w:rsid w:val="058F1702"/>
    <w:rsid w:val="05962A91"/>
    <w:rsid w:val="059E16BD"/>
    <w:rsid w:val="05C55721"/>
    <w:rsid w:val="05D10A17"/>
    <w:rsid w:val="061908A1"/>
    <w:rsid w:val="061A3D80"/>
    <w:rsid w:val="06233BF8"/>
    <w:rsid w:val="063D2F0C"/>
    <w:rsid w:val="066E7569"/>
    <w:rsid w:val="068C79F0"/>
    <w:rsid w:val="06AD5DD1"/>
    <w:rsid w:val="06D25D4A"/>
    <w:rsid w:val="06ED3F6C"/>
    <w:rsid w:val="07000440"/>
    <w:rsid w:val="0728596A"/>
    <w:rsid w:val="076467C9"/>
    <w:rsid w:val="079B25E0"/>
    <w:rsid w:val="07AA7883"/>
    <w:rsid w:val="07AB1CFC"/>
    <w:rsid w:val="07AB6FF0"/>
    <w:rsid w:val="08002443"/>
    <w:rsid w:val="081417C8"/>
    <w:rsid w:val="0851741D"/>
    <w:rsid w:val="087E1377"/>
    <w:rsid w:val="08AA368E"/>
    <w:rsid w:val="08B65533"/>
    <w:rsid w:val="08CA7A9C"/>
    <w:rsid w:val="08D21B08"/>
    <w:rsid w:val="08DA7582"/>
    <w:rsid w:val="09020646"/>
    <w:rsid w:val="09063A89"/>
    <w:rsid w:val="09293C1C"/>
    <w:rsid w:val="09440A55"/>
    <w:rsid w:val="098D41AA"/>
    <w:rsid w:val="09934D16"/>
    <w:rsid w:val="09945539"/>
    <w:rsid w:val="099A0675"/>
    <w:rsid w:val="09A67EDB"/>
    <w:rsid w:val="09B30D57"/>
    <w:rsid w:val="09CC68DA"/>
    <w:rsid w:val="09EE1E74"/>
    <w:rsid w:val="09FF5F9C"/>
    <w:rsid w:val="0A000B8C"/>
    <w:rsid w:val="0A026946"/>
    <w:rsid w:val="0A131708"/>
    <w:rsid w:val="0A3C1299"/>
    <w:rsid w:val="0A4F320E"/>
    <w:rsid w:val="0A5B6057"/>
    <w:rsid w:val="0A634F0B"/>
    <w:rsid w:val="0AA3355A"/>
    <w:rsid w:val="0AA362A8"/>
    <w:rsid w:val="0AA81AB0"/>
    <w:rsid w:val="0AD55E09"/>
    <w:rsid w:val="0AE977B2"/>
    <w:rsid w:val="0BB84DE3"/>
    <w:rsid w:val="0BBF6171"/>
    <w:rsid w:val="0BE1008E"/>
    <w:rsid w:val="0C154D0A"/>
    <w:rsid w:val="0C1D7790"/>
    <w:rsid w:val="0C1E558E"/>
    <w:rsid w:val="0C255CBB"/>
    <w:rsid w:val="0C463D95"/>
    <w:rsid w:val="0C687D15"/>
    <w:rsid w:val="0C717AE3"/>
    <w:rsid w:val="0C863C7A"/>
    <w:rsid w:val="0C982866"/>
    <w:rsid w:val="0CAF61E6"/>
    <w:rsid w:val="0CF02E12"/>
    <w:rsid w:val="0D0429D6"/>
    <w:rsid w:val="0D266145"/>
    <w:rsid w:val="0D3B5CCB"/>
    <w:rsid w:val="0D436814"/>
    <w:rsid w:val="0D6C54F6"/>
    <w:rsid w:val="0D9376BC"/>
    <w:rsid w:val="0D9C1B3D"/>
    <w:rsid w:val="0DCE7F1D"/>
    <w:rsid w:val="0DDC74AE"/>
    <w:rsid w:val="0E255F60"/>
    <w:rsid w:val="0E342E47"/>
    <w:rsid w:val="0E3A0D47"/>
    <w:rsid w:val="0E470367"/>
    <w:rsid w:val="0E6409F1"/>
    <w:rsid w:val="0EAB54D4"/>
    <w:rsid w:val="0EAE3A8A"/>
    <w:rsid w:val="0EB552EC"/>
    <w:rsid w:val="0EBD2E3C"/>
    <w:rsid w:val="0EDB7AB5"/>
    <w:rsid w:val="0EF40828"/>
    <w:rsid w:val="0F362BEE"/>
    <w:rsid w:val="0F6078EB"/>
    <w:rsid w:val="0F830A82"/>
    <w:rsid w:val="0F8B2F3A"/>
    <w:rsid w:val="0F8E47D8"/>
    <w:rsid w:val="0F9067A2"/>
    <w:rsid w:val="0F9A317D"/>
    <w:rsid w:val="0FA605E4"/>
    <w:rsid w:val="0FD60A0D"/>
    <w:rsid w:val="100905AA"/>
    <w:rsid w:val="10390BE8"/>
    <w:rsid w:val="10563548"/>
    <w:rsid w:val="10593038"/>
    <w:rsid w:val="105D7C47"/>
    <w:rsid w:val="109E174D"/>
    <w:rsid w:val="10BE10ED"/>
    <w:rsid w:val="10D0497D"/>
    <w:rsid w:val="10D32F4D"/>
    <w:rsid w:val="10D339DD"/>
    <w:rsid w:val="10E462C0"/>
    <w:rsid w:val="10F1501F"/>
    <w:rsid w:val="114368F6"/>
    <w:rsid w:val="11447845"/>
    <w:rsid w:val="117B2B3A"/>
    <w:rsid w:val="11952D15"/>
    <w:rsid w:val="11966221"/>
    <w:rsid w:val="11A7392F"/>
    <w:rsid w:val="11B5429E"/>
    <w:rsid w:val="11C0213A"/>
    <w:rsid w:val="11D337D5"/>
    <w:rsid w:val="11F2283B"/>
    <w:rsid w:val="120668A8"/>
    <w:rsid w:val="121F6E50"/>
    <w:rsid w:val="12280F14"/>
    <w:rsid w:val="12282CC2"/>
    <w:rsid w:val="123F1DBA"/>
    <w:rsid w:val="124E6F34"/>
    <w:rsid w:val="127A1044"/>
    <w:rsid w:val="127D1368"/>
    <w:rsid w:val="127E4779"/>
    <w:rsid w:val="12951915"/>
    <w:rsid w:val="12A65359"/>
    <w:rsid w:val="12AD31C8"/>
    <w:rsid w:val="12B95B55"/>
    <w:rsid w:val="12BE7183"/>
    <w:rsid w:val="12DD3432"/>
    <w:rsid w:val="12F778C9"/>
    <w:rsid w:val="12FE1529"/>
    <w:rsid w:val="130F79DE"/>
    <w:rsid w:val="135D699C"/>
    <w:rsid w:val="139022CC"/>
    <w:rsid w:val="13A45E6D"/>
    <w:rsid w:val="13A50343"/>
    <w:rsid w:val="13BA5B9C"/>
    <w:rsid w:val="13C35440"/>
    <w:rsid w:val="13DC045F"/>
    <w:rsid w:val="14067B74"/>
    <w:rsid w:val="140818FC"/>
    <w:rsid w:val="140C03C2"/>
    <w:rsid w:val="14157276"/>
    <w:rsid w:val="14194877"/>
    <w:rsid w:val="144C59B4"/>
    <w:rsid w:val="14904B4F"/>
    <w:rsid w:val="14A02BEE"/>
    <w:rsid w:val="14E629BA"/>
    <w:rsid w:val="14F72E4B"/>
    <w:rsid w:val="15071DFC"/>
    <w:rsid w:val="156A53A0"/>
    <w:rsid w:val="159D5775"/>
    <w:rsid w:val="15B11221"/>
    <w:rsid w:val="15CC7E09"/>
    <w:rsid w:val="15D52B0B"/>
    <w:rsid w:val="161377E5"/>
    <w:rsid w:val="16210154"/>
    <w:rsid w:val="1666025D"/>
    <w:rsid w:val="166938A9"/>
    <w:rsid w:val="166D339A"/>
    <w:rsid w:val="168048BD"/>
    <w:rsid w:val="16C15493"/>
    <w:rsid w:val="16D46F5F"/>
    <w:rsid w:val="16E601DE"/>
    <w:rsid w:val="1719707D"/>
    <w:rsid w:val="17312619"/>
    <w:rsid w:val="17427E0B"/>
    <w:rsid w:val="17467C1C"/>
    <w:rsid w:val="174F3834"/>
    <w:rsid w:val="1768590F"/>
    <w:rsid w:val="17710C68"/>
    <w:rsid w:val="1799121F"/>
    <w:rsid w:val="17EC3860"/>
    <w:rsid w:val="17F83137"/>
    <w:rsid w:val="18027B12"/>
    <w:rsid w:val="1824536C"/>
    <w:rsid w:val="185307F4"/>
    <w:rsid w:val="185B315E"/>
    <w:rsid w:val="186B3C22"/>
    <w:rsid w:val="188654FC"/>
    <w:rsid w:val="1888635B"/>
    <w:rsid w:val="188D2FAB"/>
    <w:rsid w:val="18977E66"/>
    <w:rsid w:val="18BB3521"/>
    <w:rsid w:val="18CC229E"/>
    <w:rsid w:val="195306F5"/>
    <w:rsid w:val="195720DF"/>
    <w:rsid w:val="1978574D"/>
    <w:rsid w:val="199470D8"/>
    <w:rsid w:val="19A978C6"/>
    <w:rsid w:val="19C70D5E"/>
    <w:rsid w:val="19DB11C0"/>
    <w:rsid w:val="19DC694F"/>
    <w:rsid w:val="19E51D54"/>
    <w:rsid w:val="1A352250"/>
    <w:rsid w:val="1A5074F5"/>
    <w:rsid w:val="1A943FAE"/>
    <w:rsid w:val="1AAD37DE"/>
    <w:rsid w:val="1ADC0AEE"/>
    <w:rsid w:val="1AF5284A"/>
    <w:rsid w:val="1B590390"/>
    <w:rsid w:val="1B6E14D2"/>
    <w:rsid w:val="1B7217E0"/>
    <w:rsid w:val="1BBE6445"/>
    <w:rsid w:val="1BC41DF1"/>
    <w:rsid w:val="1BD219F3"/>
    <w:rsid w:val="1BE66603"/>
    <w:rsid w:val="1BF44C42"/>
    <w:rsid w:val="1C1B6D76"/>
    <w:rsid w:val="1C431825"/>
    <w:rsid w:val="1C46380A"/>
    <w:rsid w:val="1C5B1C68"/>
    <w:rsid w:val="1C6D7454"/>
    <w:rsid w:val="1C752367"/>
    <w:rsid w:val="1C7B60E4"/>
    <w:rsid w:val="1C9F1DD3"/>
    <w:rsid w:val="1CCE7D2D"/>
    <w:rsid w:val="1CD37CCF"/>
    <w:rsid w:val="1CFC5B29"/>
    <w:rsid w:val="1CFD33E2"/>
    <w:rsid w:val="1D1149EA"/>
    <w:rsid w:val="1D293D92"/>
    <w:rsid w:val="1D3369BF"/>
    <w:rsid w:val="1D82408F"/>
    <w:rsid w:val="1D85546D"/>
    <w:rsid w:val="1DCB0453"/>
    <w:rsid w:val="1DDA29EA"/>
    <w:rsid w:val="1E003A4D"/>
    <w:rsid w:val="1E030071"/>
    <w:rsid w:val="1E1660C5"/>
    <w:rsid w:val="1E3B3D7D"/>
    <w:rsid w:val="1E4F364A"/>
    <w:rsid w:val="1E71154D"/>
    <w:rsid w:val="1E7B6E24"/>
    <w:rsid w:val="1E9D67E6"/>
    <w:rsid w:val="1EDA17E8"/>
    <w:rsid w:val="1EFA7794"/>
    <w:rsid w:val="1F021A0A"/>
    <w:rsid w:val="1F38206B"/>
    <w:rsid w:val="1F542115"/>
    <w:rsid w:val="1F686DF4"/>
    <w:rsid w:val="1F745799"/>
    <w:rsid w:val="1F8C1C8E"/>
    <w:rsid w:val="1FAB65BE"/>
    <w:rsid w:val="1FBA53C2"/>
    <w:rsid w:val="1FCA7B7D"/>
    <w:rsid w:val="1FCD6C57"/>
    <w:rsid w:val="2000702C"/>
    <w:rsid w:val="202B1BD0"/>
    <w:rsid w:val="20344F28"/>
    <w:rsid w:val="205D14A8"/>
    <w:rsid w:val="206F5F60"/>
    <w:rsid w:val="20731F8A"/>
    <w:rsid w:val="20913656"/>
    <w:rsid w:val="21042B4C"/>
    <w:rsid w:val="212B0C1F"/>
    <w:rsid w:val="21393A03"/>
    <w:rsid w:val="216B0628"/>
    <w:rsid w:val="2173382E"/>
    <w:rsid w:val="218B6DCA"/>
    <w:rsid w:val="21B76AC1"/>
    <w:rsid w:val="21D0782A"/>
    <w:rsid w:val="21D267A7"/>
    <w:rsid w:val="21D91B10"/>
    <w:rsid w:val="220255F8"/>
    <w:rsid w:val="22100CC4"/>
    <w:rsid w:val="22336578"/>
    <w:rsid w:val="22364F87"/>
    <w:rsid w:val="2245341D"/>
    <w:rsid w:val="22737F8A"/>
    <w:rsid w:val="227C5CED"/>
    <w:rsid w:val="22883309"/>
    <w:rsid w:val="22B55AF0"/>
    <w:rsid w:val="22C02AA3"/>
    <w:rsid w:val="22D622C7"/>
    <w:rsid w:val="22FD5AA5"/>
    <w:rsid w:val="230869A7"/>
    <w:rsid w:val="231F35B7"/>
    <w:rsid w:val="232B0864"/>
    <w:rsid w:val="234B6144"/>
    <w:rsid w:val="234E6301"/>
    <w:rsid w:val="2366189C"/>
    <w:rsid w:val="23A31F79"/>
    <w:rsid w:val="23A46CD2"/>
    <w:rsid w:val="23D45DC0"/>
    <w:rsid w:val="23D65917"/>
    <w:rsid w:val="23DE3494"/>
    <w:rsid w:val="23E32EED"/>
    <w:rsid w:val="23E45806"/>
    <w:rsid w:val="23F93F07"/>
    <w:rsid w:val="24217571"/>
    <w:rsid w:val="243351EF"/>
    <w:rsid w:val="24466FD8"/>
    <w:rsid w:val="244A0D54"/>
    <w:rsid w:val="244F6997"/>
    <w:rsid w:val="247D50F0"/>
    <w:rsid w:val="24833D88"/>
    <w:rsid w:val="249C309C"/>
    <w:rsid w:val="24A861F5"/>
    <w:rsid w:val="24A87C93"/>
    <w:rsid w:val="24C85C3F"/>
    <w:rsid w:val="24E77F1F"/>
    <w:rsid w:val="24EF58C2"/>
    <w:rsid w:val="24FC37F5"/>
    <w:rsid w:val="25565941"/>
    <w:rsid w:val="2584600A"/>
    <w:rsid w:val="25864F36"/>
    <w:rsid w:val="259358AB"/>
    <w:rsid w:val="25945D08"/>
    <w:rsid w:val="25C26B32"/>
    <w:rsid w:val="25C91C6F"/>
    <w:rsid w:val="25D85D2A"/>
    <w:rsid w:val="25EB7E37"/>
    <w:rsid w:val="26040EF9"/>
    <w:rsid w:val="26123730"/>
    <w:rsid w:val="2623293C"/>
    <w:rsid w:val="26344821"/>
    <w:rsid w:val="26775B6F"/>
    <w:rsid w:val="2697025C"/>
    <w:rsid w:val="269960EA"/>
    <w:rsid w:val="27265420"/>
    <w:rsid w:val="274921C8"/>
    <w:rsid w:val="275D4D64"/>
    <w:rsid w:val="2767372B"/>
    <w:rsid w:val="2780629F"/>
    <w:rsid w:val="27D36DD5"/>
    <w:rsid w:val="27FD20A3"/>
    <w:rsid w:val="27FF70E6"/>
    <w:rsid w:val="281F0F54"/>
    <w:rsid w:val="28237D5C"/>
    <w:rsid w:val="283B1DF7"/>
    <w:rsid w:val="28425D08"/>
    <w:rsid w:val="28DF17A9"/>
    <w:rsid w:val="28E04504"/>
    <w:rsid w:val="28EC40DC"/>
    <w:rsid w:val="28FB2FF0"/>
    <w:rsid w:val="29121180"/>
    <w:rsid w:val="29181498"/>
    <w:rsid w:val="29257B04"/>
    <w:rsid w:val="296D6001"/>
    <w:rsid w:val="29720A9F"/>
    <w:rsid w:val="29D07A70"/>
    <w:rsid w:val="29DF4157"/>
    <w:rsid w:val="29EA6657"/>
    <w:rsid w:val="29F474D7"/>
    <w:rsid w:val="2A033363"/>
    <w:rsid w:val="2A155B95"/>
    <w:rsid w:val="2A1F25DC"/>
    <w:rsid w:val="2A570191"/>
    <w:rsid w:val="2A572521"/>
    <w:rsid w:val="2A685EFA"/>
    <w:rsid w:val="2A7A3E7F"/>
    <w:rsid w:val="2A897A38"/>
    <w:rsid w:val="2A9A007E"/>
    <w:rsid w:val="2ACD02D9"/>
    <w:rsid w:val="2ADD164A"/>
    <w:rsid w:val="2AEA4B61"/>
    <w:rsid w:val="2AF23A16"/>
    <w:rsid w:val="2AFB6D6E"/>
    <w:rsid w:val="2AFD3945"/>
    <w:rsid w:val="2B014349"/>
    <w:rsid w:val="2B366A92"/>
    <w:rsid w:val="2B5621F6"/>
    <w:rsid w:val="2B5B780D"/>
    <w:rsid w:val="2B807273"/>
    <w:rsid w:val="2B982BB5"/>
    <w:rsid w:val="2BA576F3"/>
    <w:rsid w:val="2BA85539"/>
    <w:rsid w:val="2BF51A0F"/>
    <w:rsid w:val="2C09703E"/>
    <w:rsid w:val="2CC70A15"/>
    <w:rsid w:val="2CDB644A"/>
    <w:rsid w:val="2CFF241A"/>
    <w:rsid w:val="2D144954"/>
    <w:rsid w:val="2D50556F"/>
    <w:rsid w:val="2D5B7F98"/>
    <w:rsid w:val="2D6A66E3"/>
    <w:rsid w:val="2D7921CC"/>
    <w:rsid w:val="2D8A60D3"/>
    <w:rsid w:val="2D8C63A3"/>
    <w:rsid w:val="2D977A26"/>
    <w:rsid w:val="2DA76D39"/>
    <w:rsid w:val="2DD54E04"/>
    <w:rsid w:val="2E0E7F81"/>
    <w:rsid w:val="2E2D7EC7"/>
    <w:rsid w:val="2E597D48"/>
    <w:rsid w:val="2E620EB2"/>
    <w:rsid w:val="2E8E49A3"/>
    <w:rsid w:val="2EB12514"/>
    <w:rsid w:val="2EED4C20"/>
    <w:rsid w:val="2F2E4D37"/>
    <w:rsid w:val="2F420AD1"/>
    <w:rsid w:val="2F4441CE"/>
    <w:rsid w:val="2F4F7689"/>
    <w:rsid w:val="2F61560E"/>
    <w:rsid w:val="2FC8743B"/>
    <w:rsid w:val="2FCA419D"/>
    <w:rsid w:val="2FD23E16"/>
    <w:rsid w:val="2FD302BA"/>
    <w:rsid w:val="3005243D"/>
    <w:rsid w:val="302A1EA4"/>
    <w:rsid w:val="308A53E4"/>
    <w:rsid w:val="30E97669"/>
    <w:rsid w:val="310A0759"/>
    <w:rsid w:val="31305CC1"/>
    <w:rsid w:val="313525DA"/>
    <w:rsid w:val="314B3E80"/>
    <w:rsid w:val="314E1402"/>
    <w:rsid w:val="317C672F"/>
    <w:rsid w:val="317F1D7B"/>
    <w:rsid w:val="31887B58"/>
    <w:rsid w:val="31A67308"/>
    <w:rsid w:val="31A86CAA"/>
    <w:rsid w:val="31AC3642"/>
    <w:rsid w:val="31AD4B3A"/>
    <w:rsid w:val="31B7267C"/>
    <w:rsid w:val="31BC1B2B"/>
    <w:rsid w:val="31D548BE"/>
    <w:rsid w:val="31DB0550"/>
    <w:rsid w:val="32755796"/>
    <w:rsid w:val="32853AB5"/>
    <w:rsid w:val="32CA1443"/>
    <w:rsid w:val="32EC3C99"/>
    <w:rsid w:val="32EE540A"/>
    <w:rsid w:val="32F50547"/>
    <w:rsid w:val="32FB3683"/>
    <w:rsid w:val="33271199"/>
    <w:rsid w:val="332D7CE1"/>
    <w:rsid w:val="33490893"/>
    <w:rsid w:val="335039CF"/>
    <w:rsid w:val="335D7E9A"/>
    <w:rsid w:val="33642679"/>
    <w:rsid w:val="33713745"/>
    <w:rsid w:val="338647DC"/>
    <w:rsid w:val="340065E3"/>
    <w:rsid w:val="341B5D8B"/>
    <w:rsid w:val="344C063B"/>
    <w:rsid w:val="344F2B3D"/>
    <w:rsid w:val="347831DE"/>
    <w:rsid w:val="34904027"/>
    <w:rsid w:val="34D90479"/>
    <w:rsid w:val="34F064A2"/>
    <w:rsid w:val="34F3465C"/>
    <w:rsid w:val="350B22A4"/>
    <w:rsid w:val="35132F06"/>
    <w:rsid w:val="355C665B"/>
    <w:rsid w:val="35600731"/>
    <w:rsid w:val="35780FBB"/>
    <w:rsid w:val="359027A9"/>
    <w:rsid w:val="35A84815"/>
    <w:rsid w:val="35D17AC8"/>
    <w:rsid w:val="35E34323"/>
    <w:rsid w:val="35EA159D"/>
    <w:rsid w:val="360172AF"/>
    <w:rsid w:val="360D65A8"/>
    <w:rsid w:val="36387CE8"/>
    <w:rsid w:val="364E2BA9"/>
    <w:rsid w:val="3665711A"/>
    <w:rsid w:val="36721EA8"/>
    <w:rsid w:val="36772D6B"/>
    <w:rsid w:val="36AE1139"/>
    <w:rsid w:val="36BC058C"/>
    <w:rsid w:val="36E05F49"/>
    <w:rsid w:val="36F778E7"/>
    <w:rsid w:val="372E4027"/>
    <w:rsid w:val="375D490D"/>
    <w:rsid w:val="37760883"/>
    <w:rsid w:val="37773B0C"/>
    <w:rsid w:val="3781684D"/>
    <w:rsid w:val="37A97B52"/>
    <w:rsid w:val="37C60704"/>
    <w:rsid w:val="37F12C1A"/>
    <w:rsid w:val="37F90722"/>
    <w:rsid w:val="380B6117"/>
    <w:rsid w:val="3860207B"/>
    <w:rsid w:val="386F48F8"/>
    <w:rsid w:val="389600D6"/>
    <w:rsid w:val="38B44A00"/>
    <w:rsid w:val="38D74829"/>
    <w:rsid w:val="38E452E6"/>
    <w:rsid w:val="38F14916"/>
    <w:rsid w:val="38F361D7"/>
    <w:rsid w:val="38FD63A7"/>
    <w:rsid w:val="391A0D07"/>
    <w:rsid w:val="39363667"/>
    <w:rsid w:val="39394B01"/>
    <w:rsid w:val="3947679B"/>
    <w:rsid w:val="399B4A66"/>
    <w:rsid w:val="39AA6231"/>
    <w:rsid w:val="39B20BAE"/>
    <w:rsid w:val="39BC591B"/>
    <w:rsid w:val="39D76BF8"/>
    <w:rsid w:val="39F6286C"/>
    <w:rsid w:val="3A131F46"/>
    <w:rsid w:val="3A2D4A6A"/>
    <w:rsid w:val="3A4D6EBA"/>
    <w:rsid w:val="3A8B1BF9"/>
    <w:rsid w:val="3AB40CE8"/>
    <w:rsid w:val="3AE315CD"/>
    <w:rsid w:val="3AE80991"/>
    <w:rsid w:val="3AEF3ACE"/>
    <w:rsid w:val="3B20637D"/>
    <w:rsid w:val="3B2871CD"/>
    <w:rsid w:val="3B334302"/>
    <w:rsid w:val="3B3E6803"/>
    <w:rsid w:val="3B4E14F1"/>
    <w:rsid w:val="3B52394A"/>
    <w:rsid w:val="3B590236"/>
    <w:rsid w:val="3B854432"/>
    <w:rsid w:val="3BE9676F"/>
    <w:rsid w:val="3C12216A"/>
    <w:rsid w:val="3C2974B3"/>
    <w:rsid w:val="3C4A7F9A"/>
    <w:rsid w:val="3C8A7F52"/>
    <w:rsid w:val="3C8D4D06"/>
    <w:rsid w:val="3CCE573A"/>
    <w:rsid w:val="3D2F262A"/>
    <w:rsid w:val="3D3103CE"/>
    <w:rsid w:val="3D3D6D72"/>
    <w:rsid w:val="3D580050"/>
    <w:rsid w:val="3D7F3E8D"/>
    <w:rsid w:val="3D8C5F4C"/>
    <w:rsid w:val="3DDB658B"/>
    <w:rsid w:val="3DF06B92"/>
    <w:rsid w:val="3E1B21D4"/>
    <w:rsid w:val="3E24435A"/>
    <w:rsid w:val="3E295155"/>
    <w:rsid w:val="3E4405D4"/>
    <w:rsid w:val="3E881337"/>
    <w:rsid w:val="3EA51073"/>
    <w:rsid w:val="3EAF4158"/>
    <w:rsid w:val="3F1B024D"/>
    <w:rsid w:val="3F336E77"/>
    <w:rsid w:val="3F8315C9"/>
    <w:rsid w:val="3F87704C"/>
    <w:rsid w:val="3FA87E12"/>
    <w:rsid w:val="3FB412AC"/>
    <w:rsid w:val="3FB813EE"/>
    <w:rsid w:val="3FCB1EC1"/>
    <w:rsid w:val="3FEC4A80"/>
    <w:rsid w:val="401364B0"/>
    <w:rsid w:val="401F6C03"/>
    <w:rsid w:val="406029FA"/>
    <w:rsid w:val="40763B34"/>
    <w:rsid w:val="407F0314"/>
    <w:rsid w:val="4095529C"/>
    <w:rsid w:val="40AD1BF3"/>
    <w:rsid w:val="40BE466E"/>
    <w:rsid w:val="40DB7F40"/>
    <w:rsid w:val="40ED0BD9"/>
    <w:rsid w:val="40F7192E"/>
    <w:rsid w:val="41120516"/>
    <w:rsid w:val="411838B9"/>
    <w:rsid w:val="411E510D"/>
    <w:rsid w:val="411E6505"/>
    <w:rsid w:val="412344D1"/>
    <w:rsid w:val="41336BB7"/>
    <w:rsid w:val="41390199"/>
    <w:rsid w:val="413E130B"/>
    <w:rsid w:val="41424E39"/>
    <w:rsid w:val="41440C19"/>
    <w:rsid w:val="414E3ACC"/>
    <w:rsid w:val="4153125A"/>
    <w:rsid w:val="418C7FAB"/>
    <w:rsid w:val="41A30C47"/>
    <w:rsid w:val="41AA6042"/>
    <w:rsid w:val="41DB7BB7"/>
    <w:rsid w:val="421574BB"/>
    <w:rsid w:val="42380A9F"/>
    <w:rsid w:val="42AF49AE"/>
    <w:rsid w:val="42B23D5F"/>
    <w:rsid w:val="42D2280E"/>
    <w:rsid w:val="42FA74B4"/>
    <w:rsid w:val="430C1C6A"/>
    <w:rsid w:val="43275FF1"/>
    <w:rsid w:val="434846C3"/>
    <w:rsid w:val="43600BC2"/>
    <w:rsid w:val="43632CE3"/>
    <w:rsid w:val="43665374"/>
    <w:rsid w:val="4391294F"/>
    <w:rsid w:val="43923B90"/>
    <w:rsid w:val="43A54511"/>
    <w:rsid w:val="43DF5027"/>
    <w:rsid w:val="44006D4C"/>
    <w:rsid w:val="440D5ADD"/>
    <w:rsid w:val="440D7B75"/>
    <w:rsid w:val="441F7EFA"/>
    <w:rsid w:val="442C5D93"/>
    <w:rsid w:val="44380293"/>
    <w:rsid w:val="444F58A1"/>
    <w:rsid w:val="44615424"/>
    <w:rsid w:val="446C618F"/>
    <w:rsid w:val="44B23DFA"/>
    <w:rsid w:val="44DA24D3"/>
    <w:rsid w:val="44E4041B"/>
    <w:rsid w:val="44F20242"/>
    <w:rsid w:val="44F967C2"/>
    <w:rsid w:val="45025018"/>
    <w:rsid w:val="45053ECD"/>
    <w:rsid w:val="45087C83"/>
    <w:rsid w:val="451273A5"/>
    <w:rsid w:val="451B29C9"/>
    <w:rsid w:val="452F5B3A"/>
    <w:rsid w:val="4570456B"/>
    <w:rsid w:val="45820971"/>
    <w:rsid w:val="45CE75B2"/>
    <w:rsid w:val="45E701C3"/>
    <w:rsid w:val="4605689B"/>
    <w:rsid w:val="463D4287"/>
    <w:rsid w:val="46522ED9"/>
    <w:rsid w:val="465E34E6"/>
    <w:rsid w:val="465F730E"/>
    <w:rsid w:val="46633A38"/>
    <w:rsid w:val="46794B93"/>
    <w:rsid w:val="46CC1167"/>
    <w:rsid w:val="46D71FE6"/>
    <w:rsid w:val="47091BE0"/>
    <w:rsid w:val="471536E9"/>
    <w:rsid w:val="471A45C8"/>
    <w:rsid w:val="471A6376"/>
    <w:rsid w:val="47384A98"/>
    <w:rsid w:val="47680E90"/>
    <w:rsid w:val="476B4DA3"/>
    <w:rsid w:val="4774063E"/>
    <w:rsid w:val="47764D0C"/>
    <w:rsid w:val="47833F1C"/>
    <w:rsid w:val="47887784"/>
    <w:rsid w:val="479008B9"/>
    <w:rsid w:val="47953C4F"/>
    <w:rsid w:val="479F062A"/>
    <w:rsid w:val="47AA594C"/>
    <w:rsid w:val="47B011E1"/>
    <w:rsid w:val="47BB36B5"/>
    <w:rsid w:val="47BB7E19"/>
    <w:rsid w:val="47BC08E5"/>
    <w:rsid w:val="47C63E08"/>
    <w:rsid w:val="47E259A1"/>
    <w:rsid w:val="47EA3F9B"/>
    <w:rsid w:val="47ED3A8B"/>
    <w:rsid w:val="480664F4"/>
    <w:rsid w:val="48497EE3"/>
    <w:rsid w:val="484D0086"/>
    <w:rsid w:val="485C5FD2"/>
    <w:rsid w:val="485D372B"/>
    <w:rsid w:val="487321E2"/>
    <w:rsid w:val="48873767"/>
    <w:rsid w:val="48931F3C"/>
    <w:rsid w:val="48A157AC"/>
    <w:rsid w:val="48BD520B"/>
    <w:rsid w:val="48D16F09"/>
    <w:rsid w:val="48FA645F"/>
    <w:rsid w:val="4918708E"/>
    <w:rsid w:val="49242A48"/>
    <w:rsid w:val="49361952"/>
    <w:rsid w:val="493A4AAE"/>
    <w:rsid w:val="4966759A"/>
    <w:rsid w:val="49841B38"/>
    <w:rsid w:val="49AE1738"/>
    <w:rsid w:val="49BC495C"/>
    <w:rsid w:val="49C8030C"/>
    <w:rsid w:val="49D767A1"/>
    <w:rsid w:val="4A197EC5"/>
    <w:rsid w:val="4A205A52"/>
    <w:rsid w:val="4A2F038B"/>
    <w:rsid w:val="4A604942"/>
    <w:rsid w:val="4A906131"/>
    <w:rsid w:val="4AA82F6B"/>
    <w:rsid w:val="4AB2391E"/>
    <w:rsid w:val="4AC42881"/>
    <w:rsid w:val="4AC97119"/>
    <w:rsid w:val="4AE66D89"/>
    <w:rsid w:val="4B300B6D"/>
    <w:rsid w:val="4B5146DF"/>
    <w:rsid w:val="4B5A4F93"/>
    <w:rsid w:val="4B6C4CC7"/>
    <w:rsid w:val="4BA95805"/>
    <w:rsid w:val="4BBC51EC"/>
    <w:rsid w:val="4BED2325"/>
    <w:rsid w:val="4C297DA5"/>
    <w:rsid w:val="4C2A2BB8"/>
    <w:rsid w:val="4C583BC9"/>
    <w:rsid w:val="4C8610C7"/>
    <w:rsid w:val="4C9444D5"/>
    <w:rsid w:val="4D023B34"/>
    <w:rsid w:val="4D057181"/>
    <w:rsid w:val="4D0A4797"/>
    <w:rsid w:val="4D183358"/>
    <w:rsid w:val="4D5C218E"/>
    <w:rsid w:val="4D5D6FBD"/>
    <w:rsid w:val="4D6F764D"/>
    <w:rsid w:val="4D7C38E7"/>
    <w:rsid w:val="4D8851B3"/>
    <w:rsid w:val="4DA82AC3"/>
    <w:rsid w:val="4DAA6794"/>
    <w:rsid w:val="4DAF6BE2"/>
    <w:rsid w:val="4DDC25D7"/>
    <w:rsid w:val="4DEB5302"/>
    <w:rsid w:val="4E0B1523"/>
    <w:rsid w:val="4E1312C7"/>
    <w:rsid w:val="4E57752F"/>
    <w:rsid w:val="4E9C3796"/>
    <w:rsid w:val="4EBE7F2F"/>
    <w:rsid w:val="4EC73AB4"/>
    <w:rsid w:val="4ED4505D"/>
    <w:rsid w:val="4ED67027"/>
    <w:rsid w:val="4ED80FF1"/>
    <w:rsid w:val="4EDB2286"/>
    <w:rsid w:val="4EED611E"/>
    <w:rsid w:val="4EEF1E97"/>
    <w:rsid w:val="4EF86F9D"/>
    <w:rsid w:val="4F2F2B5D"/>
    <w:rsid w:val="4F300D96"/>
    <w:rsid w:val="4F3A75B6"/>
    <w:rsid w:val="4FA72771"/>
    <w:rsid w:val="4FB355BA"/>
    <w:rsid w:val="4FF9121F"/>
    <w:rsid w:val="500637C4"/>
    <w:rsid w:val="5006624C"/>
    <w:rsid w:val="50213438"/>
    <w:rsid w:val="5023004A"/>
    <w:rsid w:val="506B008F"/>
    <w:rsid w:val="506F0E47"/>
    <w:rsid w:val="508E75C7"/>
    <w:rsid w:val="50962F12"/>
    <w:rsid w:val="50AE6CE7"/>
    <w:rsid w:val="50CD4459"/>
    <w:rsid w:val="50D61560"/>
    <w:rsid w:val="50E51575"/>
    <w:rsid w:val="510A542B"/>
    <w:rsid w:val="513312AE"/>
    <w:rsid w:val="517F7502"/>
    <w:rsid w:val="51B82A14"/>
    <w:rsid w:val="51DA2FE6"/>
    <w:rsid w:val="51E92C75"/>
    <w:rsid w:val="52067C23"/>
    <w:rsid w:val="52310D91"/>
    <w:rsid w:val="529E1C09"/>
    <w:rsid w:val="529F23C6"/>
    <w:rsid w:val="52A64F62"/>
    <w:rsid w:val="52C13B4A"/>
    <w:rsid w:val="52C70DD2"/>
    <w:rsid w:val="52DF464E"/>
    <w:rsid w:val="5328051C"/>
    <w:rsid w:val="533B0F64"/>
    <w:rsid w:val="53603363"/>
    <w:rsid w:val="53647442"/>
    <w:rsid w:val="536E24B3"/>
    <w:rsid w:val="537231BE"/>
    <w:rsid w:val="539266BC"/>
    <w:rsid w:val="53A94D0A"/>
    <w:rsid w:val="53BB4A3D"/>
    <w:rsid w:val="53C62F7C"/>
    <w:rsid w:val="53D110CC"/>
    <w:rsid w:val="53D46527"/>
    <w:rsid w:val="53F27225"/>
    <w:rsid w:val="53FC752F"/>
    <w:rsid w:val="54121DDC"/>
    <w:rsid w:val="54420CBA"/>
    <w:rsid w:val="544B14EE"/>
    <w:rsid w:val="547C5F7A"/>
    <w:rsid w:val="547E495B"/>
    <w:rsid w:val="54A80763"/>
    <w:rsid w:val="54D16864"/>
    <w:rsid w:val="54DC110F"/>
    <w:rsid w:val="550D4D66"/>
    <w:rsid w:val="55397422"/>
    <w:rsid w:val="553A3D83"/>
    <w:rsid w:val="553C5677"/>
    <w:rsid w:val="555C7B36"/>
    <w:rsid w:val="555D2181"/>
    <w:rsid w:val="556514BC"/>
    <w:rsid w:val="556709D9"/>
    <w:rsid w:val="558C6691"/>
    <w:rsid w:val="55A737AD"/>
    <w:rsid w:val="55BF74AB"/>
    <w:rsid w:val="55DF4A23"/>
    <w:rsid w:val="55EF2AAA"/>
    <w:rsid w:val="561E19AE"/>
    <w:rsid w:val="562E599A"/>
    <w:rsid w:val="567225BE"/>
    <w:rsid w:val="567246E5"/>
    <w:rsid w:val="568630E0"/>
    <w:rsid w:val="56D208F9"/>
    <w:rsid w:val="56E9366F"/>
    <w:rsid w:val="56F02C50"/>
    <w:rsid w:val="570B1AB1"/>
    <w:rsid w:val="570C5E17"/>
    <w:rsid w:val="57122BC6"/>
    <w:rsid w:val="571848DD"/>
    <w:rsid w:val="575A3C27"/>
    <w:rsid w:val="575C2093"/>
    <w:rsid w:val="5774488C"/>
    <w:rsid w:val="57795D3D"/>
    <w:rsid w:val="57977BDB"/>
    <w:rsid w:val="57BD4896"/>
    <w:rsid w:val="57CB5604"/>
    <w:rsid w:val="582C7CB7"/>
    <w:rsid w:val="583D1EC5"/>
    <w:rsid w:val="5851199A"/>
    <w:rsid w:val="585D2567"/>
    <w:rsid w:val="58B710E2"/>
    <w:rsid w:val="58B91100"/>
    <w:rsid w:val="58D02D39"/>
    <w:rsid w:val="58EC1CEE"/>
    <w:rsid w:val="59157819"/>
    <w:rsid w:val="593432C8"/>
    <w:rsid w:val="595079D6"/>
    <w:rsid w:val="59995821"/>
    <w:rsid w:val="599C3374"/>
    <w:rsid w:val="59C3464B"/>
    <w:rsid w:val="59D37E51"/>
    <w:rsid w:val="59DB3743"/>
    <w:rsid w:val="59DE5DB6"/>
    <w:rsid w:val="5A0361CD"/>
    <w:rsid w:val="5A196C8F"/>
    <w:rsid w:val="5A227E3C"/>
    <w:rsid w:val="5A36306F"/>
    <w:rsid w:val="5A3A3D10"/>
    <w:rsid w:val="5A3D42DE"/>
    <w:rsid w:val="5A70513C"/>
    <w:rsid w:val="5A7C5CEE"/>
    <w:rsid w:val="5A8538DC"/>
    <w:rsid w:val="5A916DA6"/>
    <w:rsid w:val="5A99525E"/>
    <w:rsid w:val="5AB948FC"/>
    <w:rsid w:val="5AC661A1"/>
    <w:rsid w:val="5AC73942"/>
    <w:rsid w:val="5ACB37B8"/>
    <w:rsid w:val="5AF26F96"/>
    <w:rsid w:val="5B115399"/>
    <w:rsid w:val="5B1F332C"/>
    <w:rsid w:val="5B506217"/>
    <w:rsid w:val="5B726329"/>
    <w:rsid w:val="5B8014AF"/>
    <w:rsid w:val="5B8027F4"/>
    <w:rsid w:val="5B9C3B9A"/>
    <w:rsid w:val="5BA54202"/>
    <w:rsid w:val="5BAE5A4F"/>
    <w:rsid w:val="5C386BA0"/>
    <w:rsid w:val="5C735EB5"/>
    <w:rsid w:val="5C790492"/>
    <w:rsid w:val="5C9F0B74"/>
    <w:rsid w:val="5CBD5382"/>
    <w:rsid w:val="5CD9561D"/>
    <w:rsid w:val="5CEC015A"/>
    <w:rsid w:val="5CF60894"/>
    <w:rsid w:val="5D066D29"/>
    <w:rsid w:val="5D177188"/>
    <w:rsid w:val="5D22249D"/>
    <w:rsid w:val="5D293B5C"/>
    <w:rsid w:val="5D6E5757"/>
    <w:rsid w:val="5D905D0D"/>
    <w:rsid w:val="5DA54480"/>
    <w:rsid w:val="5DB74CD5"/>
    <w:rsid w:val="5DE5592E"/>
    <w:rsid w:val="5DEB78A1"/>
    <w:rsid w:val="5DF95927"/>
    <w:rsid w:val="5E07531D"/>
    <w:rsid w:val="5E2C0A11"/>
    <w:rsid w:val="5E3873B6"/>
    <w:rsid w:val="5E4A533B"/>
    <w:rsid w:val="5E9345EC"/>
    <w:rsid w:val="5EAE1426"/>
    <w:rsid w:val="5EB34C8F"/>
    <w:rsid w:val="5EC555F7"/>
    <w:rsid w:val="5ED16751"/>
    <w:rsid w:val="5ED22748"/>
    <w:rsid w:val="5EE40265"/>
    <w:rsid w:val="5EF157B7"/>
    <w:rsid w:val="5F0B4ACB"/>
    <w:rsid w:val="5F2D00D5"/>
    <w:rsid w:val="5F2F20B8"/>
    <w:rsid w:val="5F37766E"/>
    <w:rsid w:val="5F3A1344"/>
    <w:rsid w:val="5F4C1E95"/>
    <w:rsid w:val="5F6209AB"/>
    <w:rsid w:val="5F742670"/>
    <w:rsid w:val="5F800F1B"/>
    <w:rsid w:val="601856F1"/>
    <w:rsid w:val="60250FE1"/>
    <w:rsid w:val="603256D5"/>
    <w:rsid w:val="60563B24"/>
    <w:rsid w:val="605B738C"/>
    <w:rsid w:val="608D1D38"/>
    <w:rsid w:val="609B1E7E"/>
    <w:rsid w:val="60B11BF2"/>
    <w:rsid w:val="60B3748A"/>
    <w:rsid w:val="60CC2038"/>
    <w:rsid w:val="60D07E21"/>
    <w:rsid w:val="61026FB2"/>
    <w:rsid w:val="6103441A"/>
    <w:rsid w:val="610C4B2A"/>
    <w:rsid w:val="61290CBB"/>
    <w:rsid w:val="614C4F26"/>
    <w:rsid w:val="615A46AC"/>
    <w:rsid w:val="6184119E"/>
    <w:rsid w:val="61AD2263"/>
    <w:rsid w:val="61ED7A40"/>
    <w:rsid w:val="61F5736C"/>
    <w:rsid w:val="6210701A"/>
    <w:rsid w:val="6220088D"/>
    <w:rsid w:val="62480E9C"/>
    <w:rsid w:val="62AE5E99"/>
    <w:rsid w:val="62DF7FAD"/>
    <w:rsid w:val="62E775FD"/>
    <w:rsid w:val="62F30E71"/>
    <w:rsid w:val="632C5010"/>
    <w:rsid w:val="633254E9"/>
    <w:rsid w:val="634B193A"/>
    <w:rsid w:val="636F52A2"/>
    <w:rsid w:val="638B451E"/>
    <w:rsid w:val="63B23767"/>
    <w:rsid w:val="63F52FF5"/>
    <w:rsid w:val="63FC0E86"/>
    <w:rsid w:val="64094FFD"/>
    <w:rsid w:val="64152201"/>
    <w:rsid w:val="641A755E"/>
    <w:rsid w:val="642121F6"/>
    <w:rsid w:val="645F700B"/>
    <w:rsid w:val="64613801"/>
    <w:rsid w:val="64634A61"/>
    <w:rsid w:val="64654C7D"/>
    <w:rsid w:val="6481138B"/>
    <w:rsid w:val="64B02FE1"/>
    <w:rsid w:val="64B140D9"/>
    <w:rsid w:val="64E42046"/>
    <w:rsid w:val="64EC2575"/>
    <w:rsid w:val="650669B1"/>
    <w:rsid w:val="651421FF"/>
    <w:rsid w:val="65262933"/>
    <w:rsid w:val="652C7605"/>
    <w:rsid w:val="652F0DE7"/>
    <w:rsid w:val="65444CD8"/>
    <w:rsid w:val="65652A5B"/>
    <w:rsid w:val="656E190F"/>
    <w:rsid w:val="65742119"/>
    <w:rsid w:val="6582360D"/>
    <w:rsid w:val="65B53F75"/>
    <w:rsid w:val="65D54AEF"/>
    <w:rsid w:val="65FA3A7F"/>
    <w:rsid w:val="662C5D27"/>
    <w:rsid w:val="663137D4"/>
    <w:rsid w:val="6653124F"/>
    <w:rsid w:val="66550FE7"/>
    <w:rsid w:val="667967BE"/>
    <w:rsid w:val="667B2536"/>
    <w:rsid w:val="67223DEA"/>
    <w:rsid w:val="673E71D4"/>
    <w:rsid w:val="6768281E"/>
    <w:rsid w:val="676F6A57"/>
    <w:rsid w:val="67702320"/>
    <w:rsid w:val="67851192"/>
    <w:rsid w:val="678764D9"/>
    <w:rsid w:val="67BA0E3C"/>
    <w:rsid w:val="67CE2B39"/>
    <w:rsid w:val="68192F65"/>
    <w:rsid w:val="6832131A"/>
    <w:rsid w:val="683F68F9"/>
    <w:rsid w:val="689F3365"/>
    <w:rsid w:val="68BA4E6C"/>
    <w:rsid w:val="690D7691"/>
    <w:rsid w:val="6920366D"/>
    <w:rsid w:val="6946405D"/>
    <w:rsid w:val="694F1010"/>
    <w:rsid w:val="69577BD2"/>
    <w:rsid w:val="69676DA1"/>
    <w:rsid w:val="6A0B01C4"/>
    <w:rsid w:val="6A336A5E"/>
    <w:rsid w:val="6A5512F0"/>
    <w:rsid w:val="6A784F62"/>
    <w:rsid w:val="6ACB1CBA"/>
    <w:rsid w:val="6AD84830"/>
    <w:rsid w:val="6AE7141A"/>
    <w:rsid w:val="6B01007F"/>
    <w:rsid w:val="6B0D3978"/>
    <w:rsid w:val="6B184E9E"/>
    <w:rsid w:val="6B4B6718"/>
    <w:rsid w:val="6B525809"/>
    <w:rsid w:val="6B563571"/>
    <w:rsid w:val="6B64707D"/>
    <w:rsid w:val="6B69379A"/>
    <w:rsid w:val="6B6A4927"/>
    <w:rsid w:val="6B6E0A8C"/>
    <w:rsid w:val="6B6F150F"/>
    <w:rsid w:val="6B791B9B"/>
    <w:rsid w:val="6B7B39C0"/>
    <w:rsid w:val="6B8005EE"/>
    <w:rsid w:val="6B8754D9"/>
    <w:rsid w:val="6B8B7A50"/>
    <w:rsid w:val="6B9D6AAA"/>
    <w:rsid w:val="6BA55531"/>
    <w:rsid w:val="6BD61FBC"/>
    <w:rsid w:val="6C1F7A8C"/>
    <w:rsid w:val="6C3C2767"/>
    <w:rsid w:val="6C6A1488"/>
    <w:rsid w:val="6C727F37"/>
    <w:rsid w:val="6C966643"/>
    <w:rsid w:val="6CC4450B"/>
    <w:rsid w:val="6CCA7D73"/>
    <w:rsid w:val="6CCB5899"/>
    <w:rsid w:val="6D06067F"/>
    <w:rsid w:val="6D417909"/>
    <w:rsid w:val="6D811100"/>
    <w:rsid w:val="6D8131D3"/>
    <w:rsid w:val="6D911177"/>
    <w:rsid w:val="6DA14226"/>
    <w:rsid w:val="6DA463CF"/>
    <w:rsid w:val="6DAA4DA2"/>
    <w:rsid w:val="6DAE3978"/>
    <w:rsid w:val="6DC12526"/>
    <w:rsid w:val="6DCE3EEB"/>
    <w:rsid w:val="6DF8773E"/>
    <w:rsid w:val="6E19640F"/>
    <w:rsid w:val="6E3F02ED"/>
    <w:rsid w:val="6E531FEA"/>
    <w:rsid w:val="6E5B2C4D"/>
    <w:rsid w:val="6E610B66"/>
    <w:rsid w:val="6E761835"/>
    <w:rsid w:val="6E8F0BBE"/>
    <w:rsid w:val="6E9418CA"/>
    <w:rsid w:val="6EA8157F"/>
    <w:rsid w:val="6EBF4F8A"/>
    <w:rsid w:val="6EDC1FE0"/>
    <w:rsid w:val="6EFA6AE0"/>
    <w:rsid w:val="6F06170C"/>
    <w:rsid w:val="6F091CC3"/>
    <w:rsid w:val="6F0F5243"/>
    <w:rsid w:val="6F156F35"/>
    <w:rsid w:val="6F36239A"/>
    <w:rsid w:val="6F66657B"/>
    <w:rsid w:val="6F771A9A"/>
    <w:rsid w:val="6F7A405A"/>
    <w:rsid w:val="6F997ED1"/>
    <w:rsid w:val="6F9B59F7"/>
    <w:rsid w:val="6FC211D5"/>
    <w:rsid w:val="6FD54D93"/>
    <w:rsid w:val="6FD827A7"/>
    <w:rsid w:val="6FF5782A"/>
    <w:rsid w:val="70003AAC"/>
    <w:rsid w:val="70112DDE"/>
    <w:rsid w:val="70145757"/>
    <w:rsid w:val="70185D0F"/>
    <w:rsid w:val="703D3F9B"/>
    <w:rsid w:val="708446DD"/>
    <w:rsid w:val="70A15318"/>
    <w:rsid w:val="70C35C75"/>
    <w:rsid w:val="70DC62C7"/>
    <w:rsid w:val="710A39B3"/>
    <w:rsid w:val="71161BA7"/>
    <w:rsid w:val="716D6F1F"/>
    <w:rsid w:val="71A16F10"/>
    <w:rsid w:val="71FE5545"/>
    <w:rsid w:val="71FF387A"/>
    <w:rsid w:val="720F6228"/>
    <w:rsid w:val="7239166B"/>
    <w:rsid w:val="729130E1"/>
    <w:rsid w:val="72952BD1"/>
    <w:rsid w:val="729D67C5"/>
    <w:rsid w:val="73262859"/>
    <w:rsid w:val="734343DB"/>
    <w:rsid w:val="7354264F"/>
    <w:rsid w:val="735651D0"/>
    <w:rsid w:val="737A3B75"/>
    <w:rsid w:val="739D6ED6"/>
    <w:rsid w:val="739E5AB6"/>
    <w:rsid w:val="73B51D3E"/>
    <w:rsid w:val="73CD639B"/>
    <w:rsid w:val="740704ED"/>
    <w:rsid w:val="74397281"/>
    <w:rsid w:val="74477EFB"/>
    <w:rsid w:val="74603708"/>
    <w:rsid w:val="74750F31"/>
    <w:rsid w:val="74C07CAE"/>
    <w:rsid w:val="74FF2584"/>
    <w:rsid w:val="751E0158"/>
    <w:rsid w:val="752244C4"/>
    <w:rsid w:val="752F6F6C"/>
    <w:rsid w:val="753F6E24"/>
    <w:rsid w:val="754E72EC"/>
    <w:rsid w:val="755E1152"/>
    <w:rsid w:val="75954C96"/>
    <w:rsid w:val="75AC1385"/>
    <w:rsid w:val="75D403E8"/>
    <w:rsid w:val="75E0564B"/>
    <w:rsid w:val="75FF2BA5"/>
    <w:rsid w:val="760650F7"/>
    <w:rsid w:val="76095760"/>
    <w:rsid w:val="762275F6"/>
    <w:rsid w:val="765B7C8E"/>
    <w:rsid w:val="76760624"/>
    <w:rsid w:val="767E4AE9"/>
    <w:rsid w:val="76866C72"/>
    <w:rsid w:val="769C7FDE"/>
    <w:rsid w:val="76A333E3"/>
    <w:rsid w:val="76B136C6"/>
    <w:rsid w:val="76DE7A48"/>
    <w:rsid w:val="770A3F3C"/>
    <w:rsid w:val="770C2088"/>
    <w:rsid w:val="772A42AB"/>
    <w:rsid w:val="773724A9"/>
    <w:rsid w:val="7746449A"/>
    <w:rsid w:val="77557272"/>
    <w:rsid w:val="77687E54"/>
    <w:rsid w:val="777155B7"/>
    <w:rsid w:val="778F0AFC"/>
    <w:rsid w:val="77926833"/>
    <w:rsid w:val="779D6E8E"/>
    <w:rsid w:val="77B43AFA"/>
    <w:rsid w:val="77D10E59"/>
    <w:rsid w:val="77FE3F45"/>
    <w:rsid w:val="781400F4"/>
    <w:rsid w:val="78267E8E"/>
    <w:rsid w:val="782A58C3"/>
    <w:rsid w:val="784D1C1E"/>
    <w:rsid w:val="78505B2F"/>
    <w:rsid w:val="786848E4"/>
    <w:rsid w:val="787E1A12"/>
    <w:rsid w:val="78853F79"/>
    <w:rsid w:val="78AC47D1"/>
    <w:rsid w:val="78AE679B"/>
    <w:rsid w:val="78BA3601"/>
    <w:rsid w:val="78E528CF"/>
    <w:rsid w:val="78EA0F9F"/>
    <w:rsid w:val="7908577F"/>
    <w:rsid w:val="79155120"/>
    <w:rsid w:val="791613C6"/>
    <w:rsid w:val="793E40A0"/>
    <w:rsid w:val="79973DD7"/>
    <w:rsid w:val="799F60E4"/>
    <w:rsid w:val="79A11E5C"/>
    <w:rsid w:val="79A25BD4"/>
    <w:rsid w:val="79D10D4A"/>
    <w:rsid w:val="7A1B04E8"/>
    <w:rsid w:val="7A1D5075"/>
    <w:rsid w:val="7A534877"/>
    <w:rsid w:val="7A7D2E7B"/>
    <w:rsid w:val="7A811C8D"/>
    <w:rsid w:val="7AA726BF"/>
    <w:rsid w:val="7ADA5F3C"/>
    <w:rsid w:val="7ADA7CBB"/>
    <w:rsid w:val="7AE36822"/>
    <w:rsid w:val="7B0E1773"/>
    <w:rsid w:val="7B5F0CA0"/>
    <w:rsid w:val="7B643141"/>
    <w:rsid w:val="7B71585E"/>
    <w:rsid w:val="7B810197"/>
    <w:rsid w:val="7B8F3A15"/>
    <w:rsid w:val="7B915F00"/>
    <w:rsid w:val="7BA67221"/>
    <w:rsid w:val="7BC3411E"/>
    <w:rsid w:val="7BFC43E4"/>
    <w:rsid w:val="7BFF10BB"/>
    <w:rsid w:val="7C0774E1"/>
    <w:rsid w:val="7C1745DC"/>
    <w:rsid w:val="7C3A78BD"/>
    <w:rsid w:val="7C496284"/>
    <w:rsid w:val="7C4C3218"/>
    <w:rsid w:val="7C55517F"/>
    <w:rsid w:val="7C5E5DE2"/>
    <w:rsid w:val="7C8F243F"/>
    <w:rsid w:val="7C947A56"/>
    <w:rsid w:val="7CA70D70"/>
    <w:rsid w:val="7CB60BF1"/>
    <w:rsid w:val="7CB65C1E"/>
    <w:rsid w:val="7CB93A97"/>
    <w:rsid w:val="7CE00EED"/>
    <w:rsid w:val="7CE331FC"/>
    <w:rsid w:val="7D00333D"/>
    <w:rsid w:val="7D4D5E56"/>
    <w:rsid w:val="7D652812"/>
    <w:rsid w:val="7D944D3F"/>
    <w:rsid w:val="7DE92023"/>
    <w:rsid w:val="7E4D72C9"/>
    <w:rsid w:val="7E5D5267"/>
    <w:rsid w:val="7E6D67B0"/>
    <w:rsid w:val="7E7566D5"/>
    <w:rsid w:val="7E8835EA"/>
    <w:rsid w:val="7E9C52E7"/>
    <w:rsid w:val="7EA23D68"/>
    <w:rsid w:val="7EA52A6D"/>
    <w:rsid w:val="7EB601DA"/>
    <w:rsid w:val="7ED56104"/>
    <w:rsid w:val="7EE41238"/>
    <w:rsid w:val="7EF50554"/>
    <w:rsid w:val="7EF96296"/>
    <w:rsid w:val="7F0E55AC"/>
    <w:rsid w:val="7F116687"/>
    <w:rsid w:val="7F1E3F4E"/>
    <w:rsid w:val="7F9E3A2F"/>
    <w:rsid w:val="7FA73F44"/>
    <w:rsid w:val="7FA97FCE"/>
    <w:rsid w:val="7FAB3A34"/>
    <w:rsid w:val="7FB34CE0"/>
    <w:rsid w:val="7FB83A5B"/>
    <w:rsid w:val="7FCB4067"/>
    <w:rsid w:val="7FE40CF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30"/>
      <w:lang w:val="en-US" w:eastAsia="zh-CN" w:bidi="ar-SA"/>
    </w:rPr>
  </w:style>
  <w:style w:type="paragraph" w:styleId="3">
    <w:name w:val="heading 1"/>
    <w:basedOn w:val="1"/>
    <w:next w:val="1"/>
    <w:qFormat/>
    <w:locked/>
    <w:uiPriority w:val="0"/>
    <w:pPr>
      <w:spacing w:beforeAutospacing="1" w:afterAutospacing="1"/>
      <w:jc w:val="left"/>
      <w:outlineLvl w:val="0"/>
    </w:pPr>
    <w:rPr>
      <w:rFonts w:hint="eastAsia" w:ascii="宋体" w:hAnsi="宋体" w:eastAsia="宋体"/>
      <w:b/>
      <w:bCs/>
      <w:kern w:val="44"/>
      <w:sz w:val="48"/>
      <w:szCs w:val="48"/>
    </w:rPr>
  </w:style>
  <w:style w:type="paragraph" w:styleId="4">
    <w:name w:val="heading 2"/>
    <w:basedOn w:val="1"/>
    <w:next w:val="1"/>
    <w:link w:val="19"/>
    <w:qFormat/>
    <w:uiPriority w:val="99"/>
    <w:pPr>
      <w:keepNext/>
      <w:keepLines/>
      <w:spacing w:line="413" w:lineRule="auto"/>
      <w:outlineLvl w:val="1"/>
    </w:pPr>
    <w:rPr>
      <w:rFonts w:ascii="Arial" w:hAnsi="Arial" w:eastAsia="黑体" w:cs="Arial"/>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style>
  <w:style w:type="paragraph" w:styleId="5">
    <w:name w:val="toa heading"/>
    <w:basedOn w:val="1"/>
    <w:next w:val="1"/>
    <w:qFormat/>
    <w:uiPriority w:val="0"/>
    <w:pPr>
      <w:spacing w:before="120"/>
    </w:pPr>
    <w:rPr>
      <w:rFonts w:ascii="Arial" w:hAnsi="Arial" w:eastAsia="宋体"/>
      <w:sz w:val="24"/>
    </w:rPr>
  </w:style>
  <w:style w:type="paragraph" w:styleId="6">
    <w:name w:val="Body Text Indent"/>
    <w:basedOn w:val="1"/>
    <w:link w:val="14"/>
    <w:qFormat/>
    <w:uiPriority w:val="99"/>
    <w:pPr>
      <w:ind w:left="420" w:leftChars="200"/>
    </w:pPr>
  </w:style>
  <w:style w:type="paragraph" w:styleId="7">
    <w:name w:val="endnote text"/>
    <w:basedOn w:val="1"/>
    <w:qFormat/>
    <w:uiPriority w:val="0"/>
  </w:style>
  <w:style w:type="paragraph" w:styleId="8">
    <w:name w:val="footer"/>
    <w:basedOn w:val="1"/>
    <w:link w:val="16"/>
    <w:qFormat/>
    <w:uiPriority w:val="99"/>
    <w:pPr>
      <w:tabs>
        <w:tab w:val="center" w:pos="4153"/>
        <w:tab w:val="right" w:pos="8306"/>
      </w:tabs>
      <w:snapToGrid w:val="0"/>
      <w:jc w:val="left"/>
    </w:pPr>
    <w:rPr>
      <w:rFonts w:eastAsia="宋体"/>
      <w:sz w:val="18"/>
      <w:szCs w:val="18"/>
    </w:rPr>
  </w:style>
  <w:style w:type="paragraph" w:styleId="9">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link w:val="15"/>
    <w:qFormat/>
    <w:uiPriority w:val="99"/>
    <w:pPr>
      <w:ind w:firstLine="420" w:firstLineChars="200"/>
    </w:pPr>
  </w:style>
  <w:style w:type="character" w:customStyle="1" w:styleId="13">
    <w:name w:val="Heading 2 Char"/>
    <w:basedOn w:val="12"/>
    <w:semiHidden/>
    <w:qFormat/>
    <w:uiPriority w:val="9"/>
    <w:rPr>
      <w:rFonts w:asciiTheme="majorHAnsi" w:hAnsiTheme="majorHAnsi" w:eastAsiaTheme="majorEastAsia" w:cstheme="majorBidi"/>
      <w:b/>
      <w:bCs/>
      <w:sz w:val="32"/>
      <w:szCs w:val="32"/>
    </w:rPr>
  </w:style>
  <w:style w:type="character" w:customStyle="1" w:styleId="14">
    <w:name w:val="正文文本缩进 字符"/>
    <w:basedOn w:val="12"/>
    <w:link w:val="6"/>
    <w:semiHidden/>
    <w:qFormat/>
    <w:uiPriority w:val="99"/>
    <w:rPr>
      <w:rFonts w:eastAsia="仿宋_GB2312"/>
      <w:sz w:val="30"/>
      <w:szCs w:val="30"/>
    </w:rPr>
  </w:style>
  <w:style w:type="character" w:customStyle="1" w:styleId="15">
    <w:name w:val="正文文本首行缩进 2 字符"/>
    <w:basedOn w:val="14"/>
    <w:link w:val="10"/>
    <w:semiHidden/>
    <w:qFormat/>
    <w:uiPriority w:val="99"/>
    <w:rPr>
      <w:rFonts w:eastAsia="仿宋_GB2312"/>
      <w:sz w:val="30"/>
      <w:szCs w:val="30"/>
    </w:rPr>
  </w:style>
  <w:style w:type="character" w:customStyle="1" w:styleId="16">
    <w:name w:val="页脚 字符"/>
    <w:basedOn w:val="12"/>
    <w:link w:val="8"/>
    <w:semiHidden/>
    <w:qFormat/>
    <w:uiPriority w:val="99"/>
    <w:rPr>
      <w:rFonts w:eastAsia="仿宋_GB2312"/>
      <w:sz w:val="18"/>
      <w:szCs w:val="18"/>
    </w:rPr>
  </w:style>
  <w:style w:type="character" w:customStyle="1" w:styleId="17">
    <w:name w:val="页眉 字符"/>
    <w:basedOn w:val="12"/>
    <w:link w:val="9"/>
    <w:semiHidden/>
    <w:qFormat/>
    <w:uiPriority w:val="99"/>
    <w:rPr>
      <w:rFonts w:eastAsia="仿宋_GB2312"/>
      <w:sz w:val="18"/>
      <w:szCs w:val="18"/>
    </w:rPr>
  </w:style>
  <w:style w:type="character" w:customStyle="1" w:styleId="18">
    <w:name w:val="NormalCharacter"/>
    <w:qFormat/>
    <w:uiPriority w:val="0"/>
    <w:rPr>
      <w:rFonts w:ascii="Times New Roman" w:hAnsi="Times New Roman" w:eastAsia="仿宋" w:cs="Times New Roman"/>
      <w:kern w:val="2"/>
      <w:sz w:val="32"/>
      <w:szCs w:val="24"/>
      <w:lang w:val="en-US" w:eastAsia="zh-CN" w:bidi="ar-SA"/>
    </w:rPr>
  </w:style>
  <w:style w:type="character" w:customStyle="1" w:styleId="19">
    <w:name w:val="标题 2 字符"/>
    <w:link w:val="4"/>
    <w:qFormat/>
    <w:uiPriority w:val="0"/>
    <w:rPr>
      <w:rFonts w:ascii="Arial" w:hAnsi="Arial" w:eastAsia="楷体"/>
      <w:b/>
    </w:rPr>
  </w:style>
  <w:style w:type="character" w:customStyle="1" w:styleId="20">
    <w:name w:val="font51"/>
    <w:basedOn w:val="12"/>
    <w:qFormat/>
    <w:uiPriority w:val="0"/>
    <w:rPr>
      <w:rFonts w:hint="default" w:ascii="仿宋_GB2312" w:eastAsia="仿宋_GB2312" w:cs="仿宋_GB2312"/>
      <w:color w:val="000000"/>
      <w:sz w:val="21"/>
      <w:szCs w:val="21"/>
      <w:u w:val="none"/>
    </w:rPr>
  </w:style>
  <w:style w:type="character" w:customStyle="1" w:styleId="21">
    <w:name w:val="font71"/>
    <w:basedOn w:val="12"/>
    <w:qFormat/>
    <w:uiPriority w:val="0"/>
    <w:rPr>
      <w:rFonts w:hint="eastAsia" w:ascii="宋体" w:hAnsi="宋体" w:eastAsia="宋体" w:cs="宋体"/>
      <w:color w:val="000000"/>
      <w:sz w:val="21"/>
      <w:szCs w:val="21"/>
      <w:u w:val="none"/>
    </w:rPr>
  </w:style>
  <w:style w:type="character" w:customStyle="1" w:styleId="22">
    <w:name w:val="font11"/>
    <w:basedOn w:val="12"/>
    <w:qFormat/>
    <w:uiPriority w:val="0"/>
    <w:rPr>
      <w:rFonts w:hint="default" w:ascii="仿宋_GB2312" w:eastAsia="仿宋_GB2312" w:cs="仿宋_GB2312"/>
      <w:color w:val="000000"/>
      <w:sz w:val="20"/>
      <w:szCs w:val="20"/>
      <w:u w:val="none"/>
    </w:rPr>
  </w:style>
  <w:style w:type="character" w:customStyle="1" w:styleId="23">
    <w:name w:val="font81"/>
    <w:basedOn w:val="12"/>
    <w:qFormat/>
    <w:uiPriority w:val="0"/>
    <w:rPr>
      <w:rFonts w:hint="eastAsia" w:ascii="宋体" w:hAnsi="宋体" w:eastAsia="宋体" w:cs="宋体"/>
      <w:color w:val="000000"/>
      <w:sz w:val="20"/>
      <w:szCs w:val="20"/>
      <w:u w:val="none"/>
    </w:rPr>
  </w:style>
  <w:style w:type="character" w:customStyle="1" w:styleId="24">
    <w:name w:val="font91"/>
    <w:basedOn w:val="12"/>
    <w:qFormat/>
    <w:uiPriority w:val="0"/>
    <w:rPr>
      <w:rFonts w:ascii="Wingdings 2" w:hAnsi="Wingdings 2" w:eastAsia="Wingdings 2" w:cs="Wingdings 2"/>
      <w:color w:val="000000"/>
      <w:sz w:val="24"/>
      <w:szCs w:val="24"/>
      <w:u w:val="none"/>
    </w:rPr>
  </w:style>
  <w:style w:type="character" w:customStyle="1" w:styleId="25">
    <w:name w:val="font101"/>
    <w:basedOn w:val="12"/>
    <w:qFormat/>
    <w:uiPriority w:val="0"/>
    <w:rPr>
      <w:rFonts w:hint="default" w:ascii="Wingdings 2" w:hAnsi="Wingdings 2" w:eastAsia="Wingdings 2" w:cs="Wingdings 2"/>
      <w:color w:val="000000"/>
      <w:sz w:val="21"/>
      <w:szCs w:val="21"/>
      <w:u w:val="none"/>
    </w:rPr>
  </w:style>
  <w:style w:type="character" w:customStyle="1" w:styleId="26">
    <w:name w:val="font41"/>
    <w:basedOn w:val="12"/>
    <w:qFormat/>
    <w:uiPriority w:val="0"/>
    <w:rPr>
      <w:rFonts w:hint="default" w:ascii="仿宋_GB2312" w:eastAsia="仿宋_GB2312" w:cs="仿宋_GB2312"/>
      <w:color w:val="000000"/>
      <w:sz w:val="24"/>
      <w:szCs w:val="24"/>
      <w:u w:val="none"/>
    </w:rPr>
  </w:style>
  <w:style w:type="character" w:customStyle="1" w:styleId="27">
    <w:name w:val="font31"/>
    <w:basedOn w:val="12"/>
    <w:qFormat/>
    <w:uiPriority w:val="0"/>
    <w:rPr>
      <w:rFonts w:hint="eastAsia" w:ascii="宋体" w:hAnsi="宋体" w:eastAsia="宋体" w:cs="宋体"/>
      <w:b/>
      <w:bCs/>
      <w:color w:val="000000"/>
      <w:sz w:val="21"/>
      <w:szCs w:val="21"/>
      <w:u w:val="none"/>
    </w:rPr>
  </w:style>
  <w:style w:type="character" w:customStyle="1" w:styleId="28">
    <w:name w:val="font112"/>
    <w:basedOn w:val="12"/>
    <w:qFormat/>
    <w:uiPriority w:val="0"/>
    <w:rPr>
      <w:rFonts w:hint="default" w:ascii="仿宋_GB2312" w:eastAsia="仿宋_GB2312" w:cs="仿宋_GB2312"/>
      <w:b/>
      <w:bCs/>
      <w:color w:val="000000"/>
      <w:sz w:val="21"/>
      <w:szCs w:val="21"/>
      <w:u w:val="none"/>
    </w:rPr>
  </w:style>
  <w:style w:type="character" w:customStyle="1" w:styleId="29">
    <w:name w:val="font12"/>
    <w:basedOn w:val="12"/>
    <w:qFormat/>
    <w:uiPriority w:val="0"/>
    <w:rPr>
      <w:rFonts w:hint="default" w:ascii="仿宋_GB2312" w:eastAsia="仿宋_GB2312" w:cs="仿宋_GB2312"/>
      <w:color w:val="000000"/>
      <w:sz w:val="20"/>
      <w:szCs w:val="20"/>
      <w:u w:val="none"/>
    </w:rPr>
  </w:style>
  <w:style w:type="character" w:customStyle="1" w:styleId="30">
    <w:name w:val="font111"/>
    <w:basedOn w:val="12"/>
    <w:qFormat/>
    <w:uiPriority w:val="0"/>
    <w:rPr>
      <w:rFonts w:hint="default" w:ascii="仿宋_GB2312" w:eastAsia="仿宋_GB2312" w:cs="仿宋_GB2312"/>
      <w:b/>
      <w:bCs/>
      <w:color w:val="000000"/>
      <w:sz w:val="21"/>
      <w:szCs w:val="21"/>
      <w:u w:val="none"/>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果核剥壳</Company>
  <Pages>16</Pages>
  <Words>7653</Words>
  <Characters>8061</Characters>
  <Lines>123</Lines>
  <Paragraphs>34</Paragraphs>
  <TotalTime>32</TotalTime>
  <ScaleCrop>false</ScaleCrop>
  <LinksUpToDate>false</LinksUpToDate>
  <CharactersWithSpaces>8114</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2022-08-10T09:59:00Z</dcterms:created>
  <dc:creator>shadow</dc:creator>
  <cp:lastModifiedBy>李国初_</cp:lastModifiedBy>
  <cp:lastPrinted>2022-07-25T08:04:00Z</cp:lastPrinted>
  <dcterms:modified xsi:type="dcterms:W3CDTF">2024-09-03T12:26:28Z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518C487CC7F14A7E92B5FDBD56E97AD9</vt:lpwstr>
  </property>
</Properties>
</file>