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54951">
      <w:pPr>
        <w:pageBreakBefore w:val="0"/>
        <w:widowControl/>
        <w:kinsoku/>
        <w:wordWrap/>
        <w:overflowPunct/>
        <w:topLinePunct w:val="0"/>
        <w:autoSpaceDE/>
        <w:autoSpaceDN/>
        <w:bidi w:val="0"/>
        <w:adjustRightInd/>
        <w:snapToGrid/>
        <w:spacing w:line="560" w:lineRule="exact"/>
        <w:jc w:val="center"/>
        <w:outlineLvl w:val="0"/>
        <w:rPr>
          <w:rFonts w:hint="eastAsia" w:ascii="方正小标宋简体" w:hAnsi="方正小标宋简体" w:eastAsia="方正小标宋简体" w:cs="Times New Roman"/>
          <w:bCs/>
          <w:kern w:val="0"/>
          <w:sz w:val="44"/>
          <w:szCs w:val="44"/>
          <w:lang w:val="en-US" w:eastAsia="zh-CN"/>
        </w:rPr>
      </w:pPr>
      <w:r>
        <w:rPr>
          <w:rFonts w:hint="eastAsia" w:ascii="方正小标宋简体" w:hAnsi="方正小标宋简体" w:eastAsia="方正小标宋简体" w:cs="Times New Roman"/>
          <w:bCs/>
          <w:kern w:val="0"/>
          <w:sz w:val="44"/>
          <w:szCs w:val="44"/>
          <w:lang w:val="en-US" w:eastAsia="zh-CN"/>
        </w:rPr>
        <w:t>邵阳市</w:t>
      </w:r>
      <w:r>
        <w:rPr>
          <w:rFonts w:hint="default" w:ascii="方正小标宋简体" w:hAnsi="方正小标宋简体" w:eastAsia="方正小标宋简体" w:cs="Times New Roman"/>
          <w:bCs/>
          <w:kern w:val="0"/>
          <w:sz w:val="44"/>
          <w:szCs w:val="44"/>
          <w:lang w:val="en-US" w:eastAsia="zh-CN"/>
        </w:rPr>
        <w:t>2018-2021年农村公路自然村</w:t>
      </w:r>
      <w:r>
        <w:rPr>
          <w:rFonts w:hint="eastAsia" w:ascii="方正小标宋简体" w:hAnsi="方正小标宋简体" w:eastAsia="方正小标宋简体" w:cs="Times New Roman"/>
          <w:bCs/>
          <w:kern w:val="0"/>
          <w:sz w:val="44"/>
          <w:szCs w:val="44"/>
          <w:lang w:val="en-US" w:eastAsia="zh-CN"/>
        </w:rPr>
        <w:t xml:space="preserve">      </w:t>
      </w:r>
      <w:r>
        <w:rPr>
          <w:rFonts w:hint="default" w:ascii="方正小标宋简体" w:hAnsi="方正小标宋简体" w:eastAsia="方正小标宋简体" w:cs="Times New Roman"/>
          <w:bCs/>
          <w:kern w:val="0"/>
          <w:sz w:val="44"/>
          <w:szCs w:val="44"/>
          <w:lang w:val="en-US" w:eastAsia="zh-CN"/>
        </w:rPr>
        <w:t>通水泥路建设专项资金</w:t>
      </w:r>
      <w:r>
        <w:rPr>
          <w:rFonts w:hint="eastAsia" w:ascii="方正小标宋简体" w:hAnsi="方正小标宋简体" w:eastAsia="方正小标宋简体" w:cs="Times New Roman"/>
          <w:bCs/>
          <w:kern w:val="0"/>
          <w:sz w:val="44"/>
          <w:szCs w:val="44"/>
          <w:lang w:val="en-US" w:eastAsia="zh-CN"/>
        </w:rPr>
        <w:t>预算</w:t>
      </w:r>
      <w:r>
        <w:rPr>
          <w:rFonts w:hint="default" w:ascii="方正小标宋简体" w:hAnsi="方正小标宋简体" w:eastAsia="方正小标宋简体" w:cs="Times New Roman"/>
          <w:bCs/>
          <w:kern w:val="0"/>
          <w:sz w:val="44"/>
          <w:szCs w:val="44"/>
          <w:lang w:val="en-US" w:eastAsia="zh-CN"/>
        </w:rPr>
        <w:t>绩效评价</w:t>
      </w:r>
      <w:r>
        <w:rPr>
          <w:rFonts w:hint="eastAsia" w:ascii="方正小标宋简体" w:hAnsi="方正小标宋简体" w:eastAsia="方正小标宋简体" w:cs="Times New Roman"/>
          <w:bCs/>
          <w:kern w:val="0"/>
          <w:sz w:val="44"/>
          <w:szCs w:val="44"/>
          <w:lang w:val="en-US" w:eastAsia="zh-CN"/>
        </w:rPr>
        <w:t>报告</w:t>
      </w:r>
    </w:p>
    <w:p w14:paraId="061035B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eastAsia="仿宋_GB2312"/>
          <w:sz w:val="32"/>
          <w:szCs w:val="32"/>
          <w:lang w:val="en-US" w:eastAsia="zh-CN"/>
        </w:rPr>
      </w:pPr>
    </w:p>
    <w:p w14:paraId="7DE2655D">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为了切实加强预算绩效管理，提高财政资金使用效益，根据《中共中央 国务院关于全面实施预算绩效管理的意见》（中发</w:t>
      </w:r>
      <w:r>
        <w:rPr>
          <w:rFonts w:hint="default" w:ascii="Times New Roman" w:hAnsi="Times New Roman" w:eastAsia="仿宋_GB2312" w:cs="Times New Roman"/>
          <w:sz w:val="32"/>
          <w:szCs w:val="32"/>
          <w:lang w:val="en-US" w:eastAsia="zh-CN"/>
        </w:rPr>
        <w:t>〔2018〕34</w:t>
      </w:r>
      <w:r>
        <w:rPr>
          <w:rFonts w:hint="eastAsia" w:ascii="Times New Roman" w:hAnsi="Times New Roman" w:eastAsia="仿宋_GB2312" w:cs="Times New Roman"/>
          <w:sz w:val="32"/>
          <w:szCs w:val="32"/>
          <w:lang w:val="en-US" w:eastAsia="zh-CN"/>
        </w:rPr>
        <w:t>号）、《中共湖南省委办公厅 湖南省人民政府办公厅关于全面实施预算绩效管理的实施意见》（湘办发〔2019〕10号）和《湖南省财政厅关于印发湖南省预算支出绩效评价管理办法的通知》（湘财绩〔2020〕7号）等有关规定，按照《邵阳市财政局关于开展2018-2021年农村公路自然村通水泥路建设专项资金绩效评价工作的通知》要求，受邵阳市财政局委托，湖南惟楚创智经济咨询有限责任公司（以下简称惟楚创智）组成绩效评价工作组（以下简称评价组），于2022年7月-8月对邵阳市2018-2021年农村公路自然村通水泥路建设专项资金（以下简称专项资金）开展了预算绩效评价。现将评价情况报告如下：</w:t>
      </w:r>
    </w:p>
    <w:p w14:paraId="2B6B415A">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一、项目支出基本情况</w:t>
      </w:r>
    </w:p>
    <w:p w14:paraId="15206D9F">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项目概况</w:t>
      </w:r>
    </w:p>
    <w:p w14:paraId="283B0CD4">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eastAsia="仿宋_GB2312" w:asciiTheme="minorHAnsi" w:hAnsiTheme="minorHAnsi" w:cstheme="minorBidi"/>
          <w:kern w:val="2"/>
          <w:sz w:val="32"/>
          <w:szCs w:val="32"/>
          <w:lang w:val="en-US" w:eastAsia="zh-CN" w:bidi="ar-SA"/>
        </w:rPr>
        <w:t>交通在脱贫攻坚</w:t>
      </w:r>
      <w:r>
        <w:rPr>
          <w:rFonts w:hint="eastAsia" w:eastAsia="仿宋_GB2312" w:cstheme="minorBidi"/>
          <w:kern w:val="2"/>
          <w:sz w:val="32"/>
          <w:szCs w:val="32"/>
          <w:lang w:val="en-US" w:eastAsia="zh-CN" w:bidi="ar-SA"/>
        </w:rPr>
        <w:t>和</w:t>
      </w:r>
      <w:r>
        <w:rPr>
          <w:rFonts w:hint="eastAsia" w:eastAsia="仿宋_GB2312" w:asciiTheme="minorHAnsi" w:hAnsiTheme="minorHAnsi" w:cstheme="minorBidi"/>
          <w:kern w:val="2"/>
          <w:sz w:val="32"/>
          <w:szCs w:val="32"/>
          <w:lang w:val="en-US" w:eastAsia="zh-CN" w:bidi="ar-SA"/>
        </w:rPr>
        <w:t>全面建设小康社会</w:t>
      </w:r>
      <w:r>
        <w:rPr>
          <w:rFonts w:hint="eastAsia" w:eastAsia="仿宋_GB2312" w:cstheme="minorBidi"/>
          <w:kern w:val="2"/>
          <w:sz w:val="32"/>
          <w:szCs w:val="32"/>
          <w:lang w:val="en-US" w:eastAsia="zh-CN" w:bidi="ar-SA"/>
        </w:rPr>
        <w:t>中发挥着重要</w:t>
      </w:r>
      <w:r>
        <w:rPr>
          <w:rFonts w:hint="eastAsia" w:eastAsia="仿宋_GB2312" w:asciiTheme="minorHAnsi" w:hAnsiTheme="minorHAnsi" w:cstheme="minorBidi"/>
          <w:kern w:val="2"/>
          <w:sz w:val="32"/>
          <w:szCs w:val="32"/>
          <w:lang w:val="en-US" w:eastAsia="zh-CN" w:bidi="ar-SA"/>
        </w:rPr>
        <w:t>基础性作用，</w:t>
      </w:r>
      <w:r>
        <w:rPr>
          <w:rFonts w:hint="default" w:ascii="Times New Roman" w:hAnsi="Times New Roman"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017年11月22日，湖南省人民政府办公厅印发了《湖南省脱贫攻坚自然村通水泥（沥青）路建设实施方案》（湘政办发〔2017〕65号），决定从2017年至2019年，实施3.6万个自然村（全省25户以及100人以上的自然村）通水泥（沥青）路建设，总里程4.37万公里，全省自然村实现“组组通”；同年12月12日，湖南省交通厅印发了《湖南省自然村通水泥（沥青）路建设管理实施细则》（湘交农〔2017〕226号）。2018年1月19日，邵阳市人民政府办公室印发了《邵阳市脱贫攻坚自然村通水泥（沥青）路建设实施方案》（邵市政办函〔2018〕10号），明确全市省定自然村通水泥路计划建设3389.328公里，涉及4240个村组，2018年计划建设2944.621公里，2019年计划建设里程444.707公里。</w:t>
      </w:r>
      <w:bookmarkStart w:id="0" w:name="_Toc9457"/>
      <w:bookmarkStart w:id="1" w:name="_Toc4798"/>
      <w:bookmarkStart w:id="2" w:name="_Toc16051"/>
      <w:bookmarkStart w:id="3" w:name="_Toc31514"/>
      <w:bookmarkStart w:id="4" w:name="_Toc13171"/>
      <w:bookmarkStart w:id="5" w:name="_Toc11803"/>
      <w:r>
        <w:rPr>
          <w:rFonts w:hint="eastAsia" w:ascii="Times New Roman" w:hAnsi="Times New Roman" w:eastAsia="仿宋_GB2312" w:cs="Times New Roman"/>
          <w:kern w:val="2"/>
          <w:sz w:val="32"/>
          <w:szCs w:val="32"/>
          <w:lang w:val="en-US" w:eastAsia="zh-CN" w:bidi="ar-SA"/>
        </w:rPr>
        <w:t>为此，邵阳市成立了项目指挥部，通过招投标，确认了邵阳公路桥梁建设有限责任公司作为项目总承包方。项目预算资金共计47006万元，截至2020年底，项目完成建设里程</w:t>
      </w:r>
      <w:r>
        <w:rPr>
          <w:rFonts w:hint="eastAsia" w:ascii="Times New Roman" w:hAnsi="Times New Roman" w:eastAsia="仿宋_GB2312" w:cs="Times New Roman"/>
          <w:kern w:val="2"/>
          <w:sz w:val="32"/>
          <w:szCs w:val="32"/>
          <w:highlight w:val="none"/>
          <w:lang w:val="en-US" w:eastAsia="zh-CN" w:bidi="ar-SA"/>
        </w:rPr>
        <w:t>3726公里，共计4240个项目，专项资金</w:t>
      </w:r>
      <w:r>
        <w:rPr>
          <w:rFonts w:hint="eastAsia" w:ascii="Times New Roman" w:hAnsi="Times New Roman" w:eastAsia="仿宋_GB2312" w:cs="Times New Roman"/>
          <w:kern w:val="2"/>
          <w:sz w:val="32"/>
          <w:szCs w:val="32"/>
          <w:lang w:val="en-US" w:eastAsia="zh-CN" w:bidi="ar-SA"/>
        </w:rPr>
        <w:t>实际支出总计</w:t>
      </w:r>
      <w:r>
        <w:rPr>
          <w:rFonts w:hint="eastAsia" w:ascii="Times New Roman" w:hAnsi="Times New Roman" w:eastAsia="仿宋_GB2312" w:cs="Times New Roman"/>
          <w:kern w:val="2"/>
          <w:sz w:val="32"/>
          <w:szCs w:val="32"/>
          <w:highlight w:val="none"/>
          <w:lang w:val="en-US" w:eastAsia="zh-CN" w:bidi="ar-SA"/>
        </w:rPr>
        <w:t>47090.23万元。</w:t>
      </w:r>
    </w:p>
    <w:p w14:paraId="02961FC9">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outlineLvl w:val="1"/>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（二）项目制度建设情况</w:t>
      </w:r>
    </w:p>
    <w:p w14:paraId="0B2C71B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根据《实施方案》（邵市政办函〔2018〕10号）相关要求，邵阳市人民政府成立了脱贫攻坚自然村通水泥（沥青）路建设指挥部（以下简称市指挥部），统筹全市建设工作；各县市区人民政府为本辖区建设责任主体，成立指挥部，制定本地区项目建设实施方案，并组建项目公司或指定县属同类公司负责具体施工；县市区交通运输主管部门负责相关具体工作，县（市区）交通建设质量安全监督管理所负责现场质量和安全监督。</w:t>
      </w:r>
    </w:p>
    <w:p w14:paraId="30E55CE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市指挥部印发了《邵阳市脱贫攻坚自然村通水泥（沥青）路建设管理实施细则》（市村通路指〔2018〕2号），对项目的工程建设和资金管理等方面做了明确的要求；印发《市自然村通水泥（沥青）路建设有关考核和管理办法》（市村通路指〔2018〕3号），明确了工程考核办法、专项资金管理办法和质量安全监督工作目标考核办法。</w:t>
      </w:r>
    </w:p>
    <w:p w14:paraId="00E37E2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市指挥部于2018年3月根据省定规模统一进行工程项目招标，招标文件明确了项目规模、建设标准、建设工期、招标单价、计价与支付方式、价格调整办法、监管和检查验收等内容，中标单位为邵阳公路桥梁建设有限责任公司。路桥公司作为设计施工总承包方，与市指挥部签订了总体框架协议，协议明确了工程规模、建设标准、建设工期、支付方式、双方责任和义务等内容，并于4月底完成了与各县（市区）的具体施工合同的签订。</w:t>
      </w:r>
    </w:p>
    <w:p w14:paraId="32688D49">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outlineLvl w:val="1"/>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（三）</w:t>
      </w:r>
      <w:bookmarkEnd w:id="0"/>
      <w:bookmarkEnd w:id="1"/>
      <w:bookmarkEnd w:id="2"/>
      <w:bookmarkEnd w:id="3"/>
      <w:bookmarkEnd w:id="4"/>
      <w:bookmarkEnd w:id="5"/>
      <w:r>
        <w:rPr>
          <w:rFonts w:hint="eastAsia" w:ascii="楷体" w:hAnsi="楷体" w:eastAsia="楷体" w:cs="楷体"/>
          <w:b/>
          <w:bCs/>
          <w:kern w:val="2"/>
          <w:sz w:val="32"/>
          <w:szCs w:val="32"/>
          <w:lang w:val="en-US" w:eastAsia="zh-CN" w:bidi="ar-SA"/>
        </w:rPr>
        <w:t>专项资金安排及使用情况</w:t>
      </w:r>
    </w:p>
    <w:p w14:paraId="2FA4BCBA">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1.资金来源</w:t>
      </w:r>
    </w:p>
    <w:p w14:paraId="44D3A31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自然村通水泥（沥青）路建设资金来源以政府投入为主，主要由省级奖补资金、市州人民政府配套资金和县市区人民政府筹措整合资金组成。</w:t>
      </w:r>
    </w:p>
    <w:p w14:paraId="5B2F0667">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2.资金到位情况</w:t>
      </w:r>
    </w:p>
    <w:p w14:paraId="06B2D4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lang w:val="en-US" w:eastAsia="zh-CN" w:bidi="ar-SA"/>
        </w:rPr>
        <w:t>项目预算资金总额为47006万元。其中：</w:t>
      </w:r>
      <w:r>
        <w:rPr>
          <w:rFonts w:hint="default" w:ascii="Times New Roman" w:hAnsi="Times New Roman" w:eastAsia="仿宋_GB2312" w:cs="Times New Roman"/>
          <w:kern w:val="2"/>
          <w:sz w:val="32"/>
          <w:szCs w:val="32"/>
          <w:lang w:val="en-US" w:eastAsia="zh-CN" w:bidi="ar-SA"/>
        </w:rPr>
        <w:t>省</w:t>
      </w:r>
      <w:r>
        <w:rPr>
          <w:rFonts w:hint="eastAsia" w:ascii="Times New Roman" w:hAnsi="Times New Roman" w:eastAsia="仿宋_GB2312" w:cs="Times New Roman"/>
          <w:kern w:val="2"/>
          <w:sz w:val="32"/>
          <w:szCs w:val="32"/>
          <w:lang w:val="en-US" w:eastAsia="zh-CN" w:bidi="ar-SA"/>
        </w:rPr>
        <w:t>级奖补</w:t>
      </w:r>
      <w:r>
        <w:rPr>
          <w:rFonts w:hint="default" w:ascii="Times New Roman" w:hAnsi="Times New Roman" w:eastAsia="仿宋_GB2312" w:cs="Times New Roman"/>
          <w:kern w:val="2"/>
          <w:sz w:val="32"/>
          <w:szCs w:val="32"/>
          <w:lang w:val="en-US" w:eastAsia="zh-CN" w:bidi="ar-SA"/>
        </w:rPr>
        <w:t>资金总额为44106万元，省级奖补资金实行"以奖代补"，奖补标准为：深度贫困县所辖村和其他经省认定的深度贫困村15万元/公里，其他贫困县所辖村12万元/公里，非贫困县所辖贫困村10万元/公里，非贫困县所辖非贫困村8万元/公里</w:t>
      </w:r>
      <w:r>
        <w:rPr>
          <w:rFonts w:hint="eastAsia"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highlight w:val="none"/>
          <w:lang w:val="en-US" w:eastAsia="zh-CN" w:bidi="ar-SA"/>
        </w:rPr>
        <w:t>市级配套资金</w:t>
      </w:r>
      <w:r>
        <w:rPr>
          <w:rFonts w:hint="eastAsia" w:ascii="Times New Roman" w:hAnsi="Times New Roman" w:eastAsia="仿宋_GB2312" w:cs="Times New Roman"/>
          <w:kern w:val="2"/>
          <w:sz w:val="32"/>
          <w:szCs w:val="32"/>
          <w:lang w:val="en-US" w:eastAsia="zh-CN" w:bidi="ar-SA"/>
        </w:rPr>
        <w:t>总额为2900万元，市级</w:t>
      </w:r>
      <w:r>
        <w:rPr>
          <w:rFonts w:hint="default" w:ascii="Times New Roman" w:hAnsi="Times New Roman" w:eastAsia="仿宋_GB2312" w:cs="Times New Roman"/>
          <w:kern w:val="2"/>
          <w:sz w:val="32"/>
          <w:szCs w:val="32"/>
          <w:lang w:val="en-US" w:eastAsia="zh-CN" w:bidi="ar-SA"/>
        </w:rPr>
        <w:t>奖补标准为：贫困村项目1.5万元/公里，非贫困村项目1万元/公里</w:t>
      </w:r>
      <w:r>
        <w:rPr>
          <w:rFonts w:hint="eastAsia" w:ascii="Times New Roman" w:hAnsi="Times New Roman" w:eastAsia="仿宋_GB2312" w:cs="Times New Roman"/>
          <w:kern w:val="2"/>
          <w:sz w:val="32"/>
          <w:szCs w:val="32"/>
          <w:lang w:val="en-US" w:eastAsia="zh-CN" w:bidi="ar-SA"/>
        </w:rPr>
        <w:t>。项目建设资金均已全部到位，资金到位率为100%。另外，市指挥部将专项资金银行利息收入及工作经费补助合计84.23万元转为项目经费。</w:t>
      </w:r>
      <w:r>
        <w:rPr>
          <w:rFonts w:hint="default" w:ascii="Times New Roman" w:hAnsi="Times New Roman" w:eastAsia="仿宋_GB2312" w:cs="Times New Roman"/>
          <w:kern w:val="2"/>
          <w:sz w:val="32"/>
          <w:szCs w:val="32"/>
          <w:lang w:val="en-US" w:eastAsia="zh-CN" w:bidi="ar-SA"/>
        </w:rPr>
        <w:t>此次绩效评价</w:t>
      </w:r>
      <w:r>
        <w:rPr>
          <w:rFonts w:hint="eastAsia" w:ascii="Times New Roman" w:hAnsi="Times New Roman" w:eastAsia="仿宋_GB2312" w:cs="Times New Roman"/>
          <w:kern w:val="2"/>
          <w:sz w:val="32"/>
          <w:szCs w:val="32"/>
          <w:lang w:val="en-US" w:eastAsia="zh-CN" w:bidi="ar-SA"/>
        </w:rPr>
        <w:t>范围为</w:t>
      </w:r>
      <w:r>
        <w:rPr>
          <w:rFonts w:hint="eastAsia" w:ascii="Times New Roman" w:hAnsi="Times New Roman" w:eastAsia="仿宋_GB2312" w:cs="Times New Roman"/>
          <w:kern w:val="2"/>
          <w:sz w:val="32"/>
          <w:szCs w:val="32"/>
          <w:highlight w:val="none"/>
          <w:lang w:val="en-US" w:eastAsia="zh-CN" w:bidi="ar-SA"/>
        </w:rPr>
        <w:t>市级配套资金2900万元。</w:t>
      </w:r>
    </w:p>
    <w:p w14:paraId="33CDB83B">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1"/>
        <w:rPr>
          <w:rFonts w:hint="eastAsia" w:ascii="Times New Roman" w:hAnsi="Times New Roman" w:eastAsia="仿宋_GB2312" w:cs="Times New Roman"/>
          <w:b/>
          <w:bCs/>
          <w:kern w:val="2"/>
          <w:sz w:val="28"/>
          <w:szCs w:val="28"/>
          <w:lang w:val="en-US" w:eastAsia="zh-CN" w:bidi="ar-SA"/>
        </w:rPr>
      </w:pPr>
      <w:bookmarkStart w:id="6" w:name="_Toc28086"/>
      <w:r>
        <w:rPr>
          <w:rFonts w:hint="eastAsia" w:ascii="Times New Roman" w:hAnsi="Times New Roman" w:eastAsia="仿宋_GB2312" w:cs="Times New Roman"/>
          <w:b/>
          <w:bCs/>
          <w:kern w:val="2"/>
          <w:sz w:val="28"/>
          <w:szCs w:val="28"/>
          <w:lang w:val="en-US" w:eastAsia="zh-CN" w:bidi="ar-SA"/>
        </w:rPr>
        <w:t>市级配套资金到位情况表</w:t>
      </w:r>
      <w:bookmarkEnd w:id="6"/>
    </w:p>
    <w:tbl>
      <w:tblPr>
        <w:tblStyle w:val="14"/>
        <w:tblW w:w="83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13"/>
        <w:gridCol w:w="1640"/>
        <w:gridCol w:w="2604"/>
        <w:gridCol w:w="2268"/>
      </w:tblGrid>
      <w:tr w14:paraId="5F610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D86C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年度</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A3A8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金额（万元）</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4A9C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指标文号</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BAB2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下达时间</w:t>
            </w:r>
          </w:p>
        </w:tc>
      </w:tr>
      <w:tr w14:paraId="15FEA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D783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2018</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A92D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2000</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D9A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邵财预〔2018〕114号</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22D5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2018.12.21</w:t>
            </w:r>
          </w:p>
        </w:tc>
      </w:tr>
      <w:tr w14:paraId="3058E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FCCC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2019</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6476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500</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4DDD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邵财预〔2019〕001号</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EEDD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2019.12.6</w:t>
            </w:r>
          </w:p>
        </w:tc>
      </w:tr>
      <w:tr w14:paraId="2D206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7BBB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8A17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200</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E08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邵财预〔2020〕001号</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72B6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2020.5.8</w:t>
            </w:r>
          </w:p>
        </w:tc>
      </w:tr>
      <w:tr w14:paraId="23DFE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67C0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2021</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7993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200</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CF6D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邵财预〔2021〕001号</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1155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2021.4.6</w:t>
            </w:r>
          </w:p>
        </w:tc>
      </w:tr>
      <w:tr w14:paraId="7DFF6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E388">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合计</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0D126">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2900</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D2AE7">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4A4A4">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w:t>
            </w:r>
          </w:p>
        </w:tc>
      </w:tr>
    </w:tbl>
    <w:p w14:paraId="3C5CC7D4">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default" w:ascii="Times New Roman" w:hAnsi="Times New Roman" w:eastAsia="仿宋_GB2312" w:cs="Times New Roman"/>
          <w:b/>
          <w:bCs/>
          <w:kern w:val="2"/>
          <w:sz w:val="28"/>
          <w:szCs w:val="28"/>
          <w:lang w:val="en-US" w:eastAsia="zh-CN" w:bidi="ar-SA"/>
        </w:rPr>
      </w:pPr>
    </w:p>
    <w:p w14:paraId="0A9561FF">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3.资金管理情况</w:t>
      </w:r>
    </w:p>
    <w:p w14:paraId="690896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为加强专项资金管理，市指挥部和各县市区分别制定了资金管理办法，市财政设立了自然村通水泥（沥青）路集中支付专账，负责省、市奖补资金的专账核算。建设资金的使用应首先由施工单位向各县（市区）项目部提出申请，各县（市区）项目部按照审批程序。相关经办人员和领导签字并加盖公章后，报市指挥部审签，再由市指挥部资金计划组负责办理财务手续，支付到施工单位、交通局。</w:t>
      </w:r>
    </w:p>
    <w:p w14:paraId="54596F65">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4.资金使用情况</w:t>
      </w:r>
    </w:p>
    <w:p w14:paraId="2B1DA2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2018年至2022年项目建设资金合计支出47090.23万元（含利息收入及工作经费补助），其中：2018年至2021年，项目建设专项资金实际支出总计为45286.66万元，预算执行率为96.34%，市级配套资金实际支出2371.23万元，预算执行率为81.77%。</w:t>
      </w:r>
    </w:p>
    <w:p w14:paraId="51A07E4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资金情况详见下表：</w:t>
      </w:r>
    </w:p>
    <w:p w14:paraId="192DC401">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1"/>
        <w:rPr>
          <w:rFonts w:hint="eastAsia" w:ascii="Times New Roman" w:hAnsi="Times New Roman" w:eastAsia="仿宋_GB2312" w:cs="Times New Roman"/>
          <w:b/>
          <w:bCs/>
          <w:kern w:val="2"/>
          <w:sz w:val="28"/>
          <w:szCs w:val="28"/>
          <w:lang w:val="en-US" w:eastAsia="zh-CN" w:bidi="ar-SA"/>
        </w:rPr>
      </w:pPr>
      <w:bookmarkStart w:id="7" w:name="_Toc24801"/>
      <w:bookmarkStart w:id="8" w:name="_Toc15234"/>
      <w:bookmarkStart w:id="9" w:name="_Toc5783"/>
      <w:r>
        <w:rPr>
          <w:rFonts w:hint="eastAsia" w:ascii="Times New Roman" w:hAnsi="Times New Roman" w:eastAsia="仿宋_GB2312" w:cs="Times New Roman"/>
          <w:b/>
          <w:bCs/>
          <w:kern w:val="2"/>
          <w:sz w:val="28"/>
          <w:szCs w:val="28"/>
          <w:lang w:val="en-US" w:eastAsia="zh-CN" w:bidi="ar-SA"/>
        </w:rPr>
        <w:t>市级配套资金情况表</w:t>
      </w:r>
      <w:bookmarkEnd w:id="7"/>
      <w:bookmarkEnd w:id="8"/>
      <w:bookmarkEnd w:id="9"/>
    </w:p>
    <w:p w14:paraId="64C15735">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62" w:firstLineChars="200"/>
        <w:jc w:val="right"/>
        <w:textAlignment w:val="auto"/>
        <w:rPr>
          <w:rFonts w:hint="eastAsia"/>
          <w:lang w:val="en-US" w:eastAsia="zh-CN"/>
        </w:rPr>
      </w:pPr>
      <w:r>
        <w:rPr>
          <w:rFonts w:hint="eastAsia" w:ascii="Times New Roman" w:hAnsi="Times New Roman" w:eastAsia="仿宋_GB2312" w:cs="Times New Roman"/>
          <w:b/>
          <w:bCs/>
          <w:kern w:val="2"/>
          <w:sz w:val="28"/>
          <w:szCs w:val="28"/>
          <w:lang w:val="en-US" w:eastAsia="zh-CN" w:bidi="ar-SA"/>
        </w:rPr>
        <w:t xml:space="preserve">      单位：万元</w:t>
      </w:r>
    </w:p>
    <w:tbl>
      <w:tblPr>
        <w:tblStyle w:val="14"/>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56"/>
        <w:gridCol w:w="1003"/>
        <w:gridCol w:w="1172"/>
        <w:gridCol w:w="924"/>
        <w:gridCol w:w="1084"/>
        <w:gridCol w:w="1305"/>
        <w:gridCol w:w="1217"/>
        <w:gridCol w:w="1004"/>
      </w:tblGrid>
      <w:tr w14:paraId="64E63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F4B0">
            <w:pPr>
              <w:keepNext w:val="0"/>
              <w:keepLines w:val="0"/>
              <w:widowControl/>
              <w:suppressLineNumbers w:val="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年度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5C564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上年结转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1BDE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本年预算批复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388FA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到位资金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C423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资金到位率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B5A8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实际支出资金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FC5F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6DA5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结转结余</w:t>
            </w:r>
          </w:p>
        </w:tc>
      </w:tr>
      <w:tr w14:paraId="5A05C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E940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4283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3882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29F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C1F2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947D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CC5D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0CA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r>
      <w:tr w14:paraId="39729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B1C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0B85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1952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3AB1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A7E5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302C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EECC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787B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2500</w:t>
            </w:r>
          </w:p>
        </w:tc>
      </w:tr>
      <w:tr w14:paraId="299FC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0531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85ED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896F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F1D5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E998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7A05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CB8B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540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2600</w:t>
            </w:r>
          </w:p>
        </w:tc>
      </w:tr>
      <w:tr w14:paraId="13AE9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1FC1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1810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0B4D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7359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0161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F578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34E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F925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528.77</w:t>
            </w:r>
          </w:p>
        </w:tc>
      </w:tr>
      <w:tr w14:paraId="67282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4B8B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2018-2021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1CBC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415E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4835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669F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BA1A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2371.23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82A8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21B2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r>
      <w:tr w14:paraId="08208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63BC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E18D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528.77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D504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A423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1AAD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54C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528.77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C302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859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r>
      <w:tr w14:paraId="16181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B302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 w:hAnsi="仿宋" w:eastAsia="仿宋" w:cs="仿宋"/>
                <w:i w:val="0"/>
                <w:iCs w:val="0"/>
                <w:color w:val="000000"/>
                <w:kern w:val="0"/>
                <w:sz w:val="24"/>
                <w:szCs w:val="24"/>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8166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D0B4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4DF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5ADE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1D06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B05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FA65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r>
    </w:tbl>
    <w:p w14:paraId="5D31F95A">
      <w:pPr>
        <w:pStyle w:val="5"/>
        <w:pageBreakBefore w:val="0"/>
        <w:kinsoku/>
        <w:wordWrap/>
        <w:overflowPunct/>
        <w:topLinePunct w:val="0"/>
        <w:autoSpaceDE/>
        <w:autoSpaceDN/>
        <w:bidi w:val="0"/>
        <w:adjustRightInd/>
        <w:snapToGrid/>
        <w:spacing w:before="0" w:line="560" w:lineRule="exact"/>
        <w:ind w:left="0" w:firstLine="480" w:firstLineChars="200"/>
        <w:rPr>
          <w:rFonts w:hint="eastAsia"/>
          <w:lang w:val="en-US" w:eastAsia="zh-CN"/>
        </w:rPr>
      </w:pPr>
    </w:p>
    <w:p w14:paraId="172A20F0">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62" w:firstLineChars="200"/>
        <w:jc w:val="center"/>
        <w:textAlignment w:val="auto"/>
        <w:rPr>
          <w:rFonts w:hint="eastAsia" w:ascii="Times New Roman" w:hAnsi="Times New Roman" w:eastAsia="仿宋_GB2312" w:cs="Times New Roman"/>
          <w:b/>
          <w:bCs/>
          <w:kern w:val="2"/>
          <w:sz w:val="28"/>
          <w:szCs w:val="28"/>
          <w:lang w:val="en-US" w:eastAsia="zh-CN" w:bidi="ar-SA"/>
        </w:rPr>
      </w:pPr>
      <w:r>
        <w:rPr>
          <w:rFonts w:hint="eastAsia" w:ascii="Times New Roman" w:hAnsi="Times New Roman" w:eastAsia="仿宋_GB2312" w:cs="Times New Roman"/>
          <w:b/>
          <w:bCs/>
          <w:kern w:val="2"/>
          <w:sz w:val="28"/>
          <w:szCs w:val="28"/>
          <w:lang w:val="en-US" w:eastAsia="zh-CN" w:bidi="ar-SA"/>
        </w:rPr>
        <w:t>专项资金整体情况表</w:t>
      </w:r>
    </w:p>
    <w:p w14:paraId="0790AB67">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62" w:firstLineChars="200"/>
        <w:jc w:val="right"/>
        <w:textAlignment w:val="auto"/>
        <w:rPr>
          <w:rFonts w:hint="default" w:ascii="Times New Roman" w:hAnsi="Times New Roman" w:eastAsia="仿宋_GB2312" w:cs="Times New Roman"/>
          <w:b/>
          <w:bCs/>
          <w:kern w:val="2"/>
          <w:sz w:val="28"/>
          <w:szCs w:val="28"/>
          <w:lang w:val="en-US" w:eastAsia="zh-CN" w:bidi="ar-SA"/>
        </w:rPr>
      </w:pPr>
      <w:r>
        <w:rPr>
          <w:rFonts w:hint="eastAsia" w:ascii="Times New Roman" w:hAnsi="Times New Roman" w:eastAsia="仿宋_GB2312" w:cs="Times New Roman"/>
          <w:b/>
          <w:bCs/>
          <w:kern w:val="2"/>
          <w:sz w:val="28"/>
          <w:szCs w:val="28"/>
          <w:lang w:val="en-US" w:eastAsia="zh-CN" w:bidi="ar-SA"/>
        </w:rPr>
        <w:t xml:space="preserve">      单位：万元</w:t>
      </w:r>
    </w:p>
    <w:tbl>
      <w:tblPr>
        <w:tblStyle w:val="14"/>
        <w:tblW w:w="9400" w:type="dxa"/>
        <w:tblInd w:w="-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06"/>
        <w:gridCol w:w="1014"/>
        <w:gridCol w:w="852"/>
        <w:gridCol w:w="983"/>
        <w:gridCol w:w="1138"/>
        <w:gridCol w:w="787"/>
        <w:gridCol w:w="1160"/>
        <w:gridCol w:w="1093"/>
        <w:gridCol w:w="1067"/>
      </w:tblGrid>
      <w:tr w14:paraId="228E4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30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B8B2BF">
            <w:pPr>
              <w:keepNext w:val="0"/>
              <w:keepLines w:val="0"/>
              <w:widowControl/>
              <w:suppressLineNumbers w:val="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年度</w:t>
            </w:r>
          </w:p>
        </w:tc>
        <w:tc>
          <w:tcPr>
            <w:tcW w:w="1014" w:type="dxa"/>
            <w:tcBorders>
              <w:top w:val="single" w:color="000000" w:sz="8" w:space="0"/>
              <w:left w:val="nil"/>
              <w:bottom w:val="single" w:color="000000" w:sz="8" w:space="0"/>
              <w:right w:val="single" w:color="000000" w:sz="8" w:space="0"/>
            </w:tcBorders>
            <w:shd w:val="clear" w:color="auto" w:fill="auto"/>
            <w:vAlign w:val="center"/>
          </w:tcPr>
          <w:p w14:paraId="5B2113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上年结转</w:t>
            </w:r>
          </w:p>
        </w:tc>
        <w:tc>
          <w:tcPr>
            <w:tcW w:w="852" w:type="dxa"/>
            <w:tcBorders>
              <w:top w:val="single" w:color="000000" w:sz="8" w:space="0"/>
              <w:left w:val="nil"/>
              <w:bottom w:val="single" w:color="000000" w:sz="8" w:space="0"/>
              <w:right w:val="single" w:color="000000" w:sz="8" w:space="0"/>
            </w:tcBorders>
            <w:shd w:val="clear" w:color="auto" w:fill="auto"/>
            <w:vAlign w:val="center"/>
          </w:tcPr>
          <w:p w14:paraId="4FD9556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预算批复</w:t>
            </w:r>
          </w:p>
        </w:tc>
        <w:tc>
          <w:tcPr>
            <w:tcW w:w="983" w:type="dxa"/>
            <w:tcBorders>
              <w:top w:val="single" w:color="000000" w:sz="8" w:space="0"/>
              <w:left w:val="nil"/>
              <w:bottom w:val="single" w:color="000000" w:sz="8" w:space="0"/>
              <w:right w:val="single" w:color="000000" w:sz="8" w:space="0"/>
            </w:tcBorders>
            <w:shd w:val="clear" w:color="auto" w:fill="auto"/>
            <w:vAlign w:val="center"/>
          </w:tcPr>
          <w:p w14:paraId="6A6FD3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其他资金</w:t>
            </w:r>
          </w:p>
        </w:tc>
        <w:tc>
          <w:tcPr>
            <w:tcW w:w="1138" w:type="dxa"/>
            <w:tcBorders>
              <w:top w:val="single" w:color="000000" w:sz="8" w:space="0"/>
              <w:left w:val="nil"/>
              <w:bottom w:val="single" w:color="000000" w:sz="8" w:space="0"/>
              <w:right w:val="single" w:color="000000" w:sz="8" w:space="0"/>
            </w:tcBorders>
            <w:shd w:val="clear" w:color="auto" w:fill="auto"/>
            <w:vAlign w:val="center"/>
          </w:tcPr>
          <w:p w14:paraId="725939B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到位资金</w:t>
            </w:r>
          </w:p>
        </w:tc>
        <w:tc>
          <w:tcPr>
            <w:tcW w:w="787" w:type="dxa"/>
            <w:tcBorders>
              <w:top w:val="single" w:color="000000" w:sz="8" w:space="0"/>
              <w:left w:val="nil"/>
              <w:bottom w:val="single" w:color="000000" w:sz="8" w:space="0"/>
              <w:right w:val="single" w:color="000000" w:sz="8" w:space="0"/>
            </w:tcBorders>
            <w:shd w:val="clear" w:color="auto" w:fill="auto"/>
            <w:vAlign w:val="center"/>
          </w:tcPr>
          <w:p w14:paraId="4A9351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资金到位率</w:t>
            </w:r>
          </w:p>
        </w:tc>
        <w:tc>
          <w:tcPr>
            <w:tcW w:w="1160" w:type="dxa"/>
            <w:tcBorders>
              <w:top w:val="single" w:color="000000" w:sz="8" w:space="0"/>
              <w:left w:val="nil"/>
              <w:bottom w:val="single" w:color="000000" w:sz="8" w:space="0"/>
              <w:right w:val="single" w:color="000000" w:sz="8" w:space="0"/>
            </w:tcBorders>
            <w:shd w:val="clear" w:color="auto" w:fill="auto"/>
            <w:vAlign w:val="center"/>
          </w:tcPr>
          <w:p w14:paraId="44B248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实际支出资金</w:t>
            </w:r>
          </w:p>
        </w:tc>
        <w:tc>
          <w:tcPr>
            <w:tcW w:w="1093" w:type="dxa"/>
            <w:tcBorders>
              <w:top w:val="single" w:color="000000" w:sz="8" w:space="0"/>
              <w:left w:val="nil"/>
              <w:bottom w:val="single" w:color="000000" w:sz="8" w:space="0"/>
              <w:right w:val="single" w:color="000000" w:sz="8" w:space="0"/>
            </w:tcBorders>
            <w:shd w:val="clear" w:color="auto" w:fill="auto"/>
            <w:vAlign w:val="center"/>
          </w:tcPr>
          <w:p w14:paraId="38D81A6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资金执行率</w:t>
            </w:r>
          </w:p>
        </w:tc>
        <w:tc>
          <w:tcPr>
            <w:tcW w:w="1067" w:type="dxa"/>
            <w:tcBorders>
              <w:top w:val="single" w:color="000000" w:sz="8" w:space="0"/>
              <w:left w:val="nil"/>
              <w:bottom w:val="single" w:color="000000" w:sz="8" w:space="0"/>
              <w:right w:val="single" w:color="000000" w:sz="8" w:space="0"/>
            </w:tcBorders>
            <w:shd w:val="clear" w:color="auto" w:fill="auto"/>
            <w:vAlign w:val="center"/>
          </w:tcPr>
          <w:p w14:paraId="1D243B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结转结余</w:t>
            </w:r>
          </w:p>
        </w:tc>
      </w:tr>
      <w:tr w14:paraId="0D236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306" w:type="dxa"/>
            <w:tcBorders>
              <w:top w:val="nil"/>
              <w:left w:val="single" w:color="000000" w:sz="8" w:space="0"/>
              <w:bottom w:val="single" w:color="000000" w:sz="8" w:space="0"/>
              <w:right w:val="single" w:color="000000" w:sz="8" w:space="0"/>
            </w:tcBorders>
            <w:shd w:val="clear" w:color="auto" w:fill="auto"/>
            <w:noWrap/>
            <w:vAlign w:val="center"/>
          </w:tcPr>
          <w:p w14:paraId="078BAE8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2018</w:t>
            </w:r>
          </w:p>
        </w:tc>
        <w:tc>
          <w:tcPr>
            <w:tcW w:w="1014" w:type="dxa"/>
            <w:tcBorders>
              <w:top w:val="nil"/>
              <w:left w:val="nil"/>
              <w:bottom w:val="single" w:color="000000" w:sz="8" w:space="0"/>
              <w:right w:val="single" w:color="000000" w:sz="8" w:space="0"/>
            </w:tcBorders>
            <w:shd w:val="clear" w:color="auto" w:fill="auto"/>
            <w:noWrap/>
            <w:vAlign w:val="center"/>
          </w:tcPr>
          <w:p w14:paraId="2A9E2A6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w:t>
            </w:r>
          </w:p>
        </w:tc>
        <w:tc>
          <w:tcPr>
            <w:tcW w:w="852" w:type="dxa"/>
            <w:tcBorders>
              <w:top w:val="nil"/>
              <w:left w:val="nil"/>
              <w:bottom w:val="single" w:color="000000" w:sz="8" w:space="0"/>
              <w:right w:val="single" w:color="000000" w:sz="8" w:space="0"/>
            </w:tcBorders>
            <w:shd w:val="clear" w:color="auto" w:fill="auto"/>
            <w:noWrap/>
            <w:vAlign w:val="center"/>
          </w:tcPr>
          <w:p w14:paraId="27DD73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34647</w:t>
            </w:r>
          </w:p>
        </w:tc>
        <w:tc>
          <w:tcPr>
            <w:tcW w:w="983" w:type="dxa"/>
            <w:tcBorders>
              <w:top w:val="nil"/>
              <w:left w:val="nil"/>
              <w:bottom w:val="single" w:color="000000" w:sz="8" w:space="0"/>
              <w:right w:val="single" w:color="000000" w:sz="8" w:space="0"/>
            </w:tcBorders>
            <w:shd w:val="clear" w:color="auto" w:fill="auto"/>
            <w:noWrap/>
            <w:vAlign w:val="center"/>
          </w:tcPr>
          <w:p w14:paraId="510C3D9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20.95</w:t>
            </w:r>
          </w:p>
        </w:tc>
        <w:tc>
          <w:tcPr>
            <w:tcW w:w="1138" w:type="dxa"/>
            <w:tcBorders>
              <w:top w:val="nil"/>
              <w:left w:val="nil"/>
              <w:bottom w:val="single" w:color="000000" w:sz="8" w:space="0"/>
              <w:right w:val="single" w:color="000000" w:sz="8" w:space="0"/>
            </w:tcBorders>
            <w:shd w:val="clear" w:color="auto" w:fill="auto"/>
            <w:noWrap/>
            <w:vAlign w:val="center"/>
          </w:tcPr>
          <w:p w14:paraId="7F0250D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34647</w:t>
            </w:r>
          </w:p>
        </w:tc>
        <w:tc>
          <w:tcPr>
            <w:tcW w:w="787" w:type="dxa"/>
            <w:tcBorders>
              <w:top w:val="nil"/>
              <w:left w:val="nil"/>
              <w:bottom w:val="single" w:color="000000" w:sz="8" w:space="0"/>
              <w:right w:val="single" w:color="000000" w:sz="8" w:space="0"/>
            </w:tcBorders>
            <w:shd w:val="clear" w:color="auto" w:fill="auto"/>
            <w:noWrap/>
            <w:vAlign w:val="center"/>
          </w:tcPr>
          <w:p w14:paraId="695A456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160" w:type="dxa"/>
            <w:tcBorders>
              <w:top w:val="nil"/>
              <w:left w:val="nil"/>
              <w:bottom w:val="single" w:color="000000" w:sz="8" w:space="0"/>
              <w:right w:val="single" w:color="000000" w:sz="8" w:space="0"/>
            </w:tcBorders>
            <w:shd w:val="clear" w:color="auto" w:fill="auto"/>
            <w:noWrap/>
            <w:vAlign w:val="center"/>
          </w:tcPr>
          <w:p w14:paraId="4CE1C4F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28907.53</w:t>
            </w:r>
          </w:p>
        </w:tc>
        <w:tc>
          <w:tcPr>
            <w:tcW w:w="1093" w:type="dxa"/>
            <w:tcBorders>
              <w:top w:val="nil"/>
              <w:left w:val="nil"/>
              <w:bottom w:val="single" w:color="000000" w:sz="8" w:space="0"/>
              <w:right w:val="single" w:color="000000" w:sz="8" w:space="0"/>
            </w:tcBorders>
            <w:shd w:val="clear" w:color="auto" w:fill="auto"/>
            <w:noWrap/>
            <w:vAlign w:val="center"/>
          </w:tcPr>
          <w:p w14:paraId="79B80F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83.43%</w:t>
            </w:r>
          </w:p>
        </w:tc>
        <w:tc>
          <w:tcPr>
            <w:tcW w:w="1067" w:type="dxa"/>
            <w:tcBorders>
              <w:top w:val="nil"/>
              <w:left w:val="nil"/>
              <w:bottom w:val="single" w:color="000000" w:sz="8" w:space="0"/>
              <w:right w:val="single" w:color="000000" w:sz="8" w:space="0"/>
            </w:tcBorders>
            <w:shd w:val="clear" w:color="auto" w:fill="auto"/>
            <w:noWrap/>
            <w:vAlign w:val="center"/>
          </w:tcPr>
          <w:p w14:paraId="15F2C55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5739.47</w:t>
            </w:r>
          </w:p>
        </w:tc>
      </w:tr>
      <w:tr w14:paraId="30FBB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306" w:type="dxa"/>
            <w:tcBorders>
              <w:top w:val="nil"/>
              <w:left w:val="single" w:color="000000" w:sz="8" w:space="0"/>
              <w:bottom w:val="single" w:color="000000" w:sz="8" w:space="0"/>
              <w:right w:val="single" w:color="000000" w:sz="8" w:space="0"/>
            </w:tcBorders>
            <w:shd w:val="clear" w:color="auto" w:fill="auto"/>
            <w:noWrap/>
            <w:vAlign w:val="center"/>
          </w:tcPr>
          <w:p w14:paraId="494378E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2019</w:t>
            </w:r>
          </w:p>
        </w:tc>
        <w:tc>
          <w:tcPr>
            <w:tcW w:w="1014" w:type="dxa"/>
            <w:tcBorders>
              <w:top w:val="nil"/>
              <w:left w:val="nil"/>
              <w:bottom w:val="single" w:color="000000" w:sz="8" w:space="0"/>
              <w:right w:val="single" w:color="000000" w:sz="8" w:space="0"/>
            </w:tcBorders>
            <w:shd w:val="clear" w:color="auto" w:fill="auto"/>
            <w:noWrap/>
            <w:vAlign w:val="center"/>
          </w:tcPr>
          <w:p w14:paraId="0F17773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5739.47</w:t>
            </w:r>
          </w:p>
        </w:tc>
        <w:tc>
          <w:tcPr>
            <w:tcW w:w="852" w:type="dxa"/>
            <w:tcBorders>
              <w:top w:val="nil"/>
              <w:left w:val="nil"/>
              <w:bottom w:val="single" w:color="000000" w:sz="8" w:space="0"/>
              <w:right w:val="single" w:color="000000" w:sz="8" w:space="0"/>
            </w:tcBorders>
            <w:shd w:val="clear" w:color="auto" w:fill="auto"/>
            <w:noWrap/>
            <w:vAlign w:val="center"/>
          </w:tcPr>
          <w:p w14:paraId="6D195E0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7981</w:t>
            </w:r>
          </w:p>
        </w:tc>
        <w:tc>
          <w:tcPr>
            <w:tcW w:w="983" w:type="dxa"/>
            <w:tcBorders>
              <w:top w:val="nil"/>
              <w:left w:val="nil"/>
              <w:bottom w:val="single" w:color="000000" w:sz="8" w:space="0"/>
              <w:right w:val="single" w:color="000000" w:sz="8" w:space="0"/>
            </w:tcBorders>
            <w:shd w:val="clear" w:color="auto" w:fill="auto"/>
            <w:noWrap/>
            <w:vAlign w:val="center"/>
          </w:tcPr>
          <w:p w14:paraId="4F77C9E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26.2</w:t>
            </w:r>
          </w:p>
        </w:tc>
        <w:tc>
          <w:tcPr>
            <w:tcW w:w="1138" w:type="dxa"/>
            <w:tcBorders>
              <w:top w:val="nil"/>
              <w:left w:val="nil"/>
              <w:bottom w:val="single" w:color="000000" w:sz="8" w:space="0"/>
              <w:right w:val="single" w:color="000000" w:sz="8" w:space="0"/>
            </w:tcBorders>
            <w:shd w:val="clear" w:color="auto" w:fill="auto"/>
            <w:noWrap/>
            <w:vAlign w:val="center"/>
          </w:tcPr>
          <w:p w14:paraId="78C9A16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13720.47</w:t>
            </w:r>
          </w:p>
        </w:tc>
        <w:tc>
          <w:tcPr>
            <w:tcW w:w="787" w:type="dxa"/>
            <w:tcBorders>
              <w:top w:val="nil"/>
              <w:left w:val="nil"/>
              <w:bottom w:val="single" w:color="000000" w:sz="8" w:space="0"/>
              <w:right w:val="single" w:color="000000" w:sz="8" w:space="0"/>
            </w:tcBorders>
            <w:shd w:val="clear" w:color="auto" w:fill="auto"/>
            <w:noWrap/>
            <w:vAlign w:val="center"/>
          </w:tcPr>
          <w:p w14:paraId="22D5DDA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160" w:type="dxa"/>
            <w:tcBorders>
              <w:top w:val="nil"/>
              <w:left w:val="nil"/>
              <w:bottom w:val="single" w:color="000000" w:sz="8" w:space="0"/>
              <w:right w:val="single" w:color="000000" w:sz="8" w:space="0"/>
            </w:tcBorders>
            <w:shd w:val="clear" w:color="auto" w:fill="auto"/>
            <w:noWrap/>
            <w:vAlign w:val="center"/>
          </w:tcPr>
          <w:p w14:paraId="6673405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4645.95</w:t>
            </w:r>
          </w:p>
        </w:tc>
        <w:tc>
          <w:tcPr>
            <w:tcW w:w="1093" w:type="dxa"/>
            <w:tcBorders>
              <w:top w:val="nil"/>
              <w:left w:val="nil"/>
              <w:bottom w:val="single" w:color="000000" w:sz="8" w:space="0"/>
              <w:right w:val="single" w:color="000000" w:sz="8" w:space="0"/>
            </w:tcBorders>
            <w:shd w:val="clear" w:color="auto" w:fill="auto"/>
            <w:noWrap/>
            <w:vAlign w:val="center"/>
          </w:tcPr>
          <w:p w14:paraId="2F03113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33.86%</w:t>
            </w:r>
          </w:p>
        </w:tc>
        <w:tc>
          <w:tcPr>
            <w:tcW w:w="1067" w:type="dxa"/>
            <w:tcBorders>
              <w:top w:val="nil"/>
              <w:left w:val="nil"/>
              <w:bottom w:val="single" w:color="000000" w:sz="8" w:space="0"/>
              <w:right w:val="single" w:color="000000" w:sz="8" w:space="0"/>
            </w:tcBorders>
            <w:shd w:val="clear" w:color="auto" w:fill="auto"/>
            <w:noWrap/>
            <w:vAlign w:val="center"/>
          </w:tcPr>
          <w:p w14:paraId="0EFA7FF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9074.52</w:t>
            </w:r>
          </w:p>
        </w:tc>
      </w:tr>
      <w:tr w14:paraId="18C90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306" w:type="dxa"/>
            <w:tcBorders>
              <w:top w:val="nil"/>
              <w:left w:val="single" w:color="000000" w:sz="8" w:space="0"/>
              <w:bottom w:val="single" w:color="000000" w:sz="8" w:space="0"/>
              <w:right w:val="single" w:color="000000" w:sz="8" w:space="0"/>
            </w:tcBorders>
            <w:shd w:val="clear" w:color="auto" w:fill="auto"/>
            <w:noWrap/>
            <w:vAlign w:val="center"/>
          </w:tcPr>
          <w:p w14:paraId="08B1C7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2020</w:t>
            </w:r>
          </w:p>
        </w:tc>
        <w:tc>
          <w:tcPr>
            <w:tcW w:w="1014" w:type="dxa"/>
            <w:tcBorders>
              <w:top w:val="nil"/>
              <w:left w:val="nil"/>
              <w:bottom w:val="single" w:color="000000" w:sz="8" w:space="0"/>
              <w:right w:val="single" w:color="000000" w:sz="8" w:space="0"/>
            </w:tcBorders>
            <w:shd w:val="clear" w:color="auto" w:fill="auto"/>
            <w:noWrap/>
            <w:vAlign w:val="center"/>
          </w:tcPr>
          <w:p w14:paraId="5D4A599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9074.52</w:t>
            </w:r>
          </w:p>
        </w:tc>
        <w:tc>
          <w:tcPr>
            <w:tcW w:w="852" w:type="dxa"/>
            <w:tcBorders>
              <w:top w:val="nil"/>
              <w:left w:val="nil"/>
              <w:bottom w:val="single" w:color="000000" w:sz="8" w:space="0"/>
              <w:right w:val="single" w:color="000000" w:sz="8" w:space="0"/>
            </w:tcBorders>
            <w:shd w:val="clear" w:color="auto" w:fill="auto"/>
            <w:noWrap/>
            <w:vAlign w:val="center"/>
          </w:tcPr>
          <w:p w14:paraId="6C169A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4178</w:t>
            </w:r>
          </w:p>
        </w:tc>
        <w:tc>
          <w:tcPr>
            <w:tcW w:w="983" w:type="dxa"/>
            <w:tcBorders>
              <w:top w:val="nil"/>
              <w:left w:val="nil"/>
              <w:bottom w:val="single" w:color="000000" w:sz="8" w:space="0"/>
              <w:right w:val="single" w:color="000000" w:sz="8" w:space="0"/>
            </w:tcBorders>
            <w:shd w:val="clear" w:color="auto" w:fill="auto"/>
            <w:noWrap/>
            <w:vAlign w:val="center"/>
          </w:tcPr>
          <w:p w14:paraId="0559159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12.3</w:t>
            </w:r>
          </w:p>
        </w:tc>
        <w:tc>
          <w:tcPr>
            <w:tcW w:w="1138" w:type="dxa"/>
            <w:tcBorders>
              <w:top w:val="nil"/>
              <w:left w:val="nil"/>
              <w:bottom w:val="single" w:color="000000" w:sz="8" w:space="0"/>
              <w:right w:val="single" w:color="000000" w:sz="8" w:space="0"/>
            </w:tcBorders>
            <w:shd w:val="clear" w:color="auto" w:fill="auto"/>
            <w:noWrap/>
            <w:vAlign w:val="center"/>
          </w:tcPr>
          <w:p w14:paraId="2D04E21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13252.52</w:t>
            </w:r>
          </w:p>
        </w:tc>
        <w:tc>
          <w:tcPr>
            <w:tcW w:w="787" w:type="dxa"/>
            <w:tcBorders>
              <w:top w:val="nil"/>
              <w:left w:val="nil"/>
              <w:bottom w:val="single" w:color="000000" w:sz="8" w:space="0"/>
              <w:right w:val="single" w:color="000000" w:sz="8" w:space="0"/>
            </w:tcBorders>
            <w:shd w:val="clear" w:color="auto" w:fill="auto"/>
            <w:noWrap/>
            <w:vAlign w:val="center"/>
          </w:tcPr>
          <w:p w14:paraId="096458F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160" w:type="dxa"/>
            <w:tcBorders>
              <w:top w:val="nil"/>
              <w:left w:val="nil"/>
              <w:bottom w:val="single" w:color="000000" w:sz="8" w:space="0"/>
              <w:right w:val="single" w:color="000000" w:sz="8" w:space="0"/>
            </w:tcBorders>
            <w:shd w:val="clear" w:color="auto" w:fill="auto"/>
            <w:noWrap/>
            <w:vAlign w:val="center"/>
          </w:tcPr>
          <w:p w14:paraId="3C6AE2A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6809.5</w:t>
            </w:r>
          </w:p>
        </w:tc>
        <w:tc>
          <w:tcPr>
            <w:tcW w:w="1093" w:type="dxa"/>
            <w:tcBorders>
              <w:top w:val="nil"/>
              <w:left w:val="nil"/>
              <w:bottom w:val="single" w:color="000000" w:sz="8" w:space="0"/>
              <w:right w:val="single" w:color="000000" w:sz="8" w:space="0"/>
            </w:tcBorders>
            <w:shd w:val="clear" w:color="auto" w:fill="auto"/>
            <w:noWrap/>
            <w:vAlign w:val="center"/>
          </w:tcPr>
          <w:p w14:paraId="44C27D3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51.38%</w:t>
            </w:r>
          </w:p>
        </w:tc>
        <w:tc>
          <w:tcPr>
            <w:tcW w:w="1067" w:type="dxa"/>
            <w:tcBorders>
              <w:top w:val="nil"/>
              <w:left w:val="nil"/>
              <w:bottom w:val="single" w:color="000000" w:sz="8" w:space="0"/>
              <w:right w:val="single" w:color="000000" w:sz="8" w:space="0"/>
            </w:tcBorders>
            <w:shd w:val="clear" w:color="auto" w:fill="auto"/>
            <w:noWrap/>
            <w:vAlign w:val="center"/>
          </w:tcPr>
          <w:p w14:paraId="72BCB48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6443.02</w:t>
            </w:r>
          </w:p>
        </w:tc>
      </w:tr>
      <w:tr w14:paraId="43979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306" w:type="dxa"/>
            <w:tcBorders>
              <w:top w:val="nil"/>
              <w:left w:val="single" w:color="000000" w:sz="8" w:space="0"/>
              <w:bottom w:val="single" w:color="000000" w:sz="8" w:space="0"/>
              <w:right w:val="single" w:color="000000" w:sz="8" w:space="0"/>
            </w:tcBorders>
            <w:shd w:val="clear" w:color="auto" w:fill="auto"/>
            <w:noWrap/>
            <w:vAlign w:val="center"/>
          </w:tcPr>
          <w:p w14:paraId="327FC17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2021</w:t>
            </w:r>
          </w:p>
        </w:tc>
        <w:tc>
          <w:tcPr>
            <w:tcW w:w="1014" w:type="dxa"/>
            <w:tcBorders>
              <w:top w:val="nil"/>
              <w:left w:val="nil"/>
              <w:bottom w:val="single" w:color="000000" w:sz="8" w:space="0"/>
              <w:right w:val="single" w:color="000000" w:sz="8" w:space="0"/>
            </w:tcBorders>
            <w:shd w:val="clear" w:color="auto" w:fill="auto"/>
            <w:noWrap/>
            <w:vAlign w:val="center"/>
          </w:tcPr>
          <w:p w14:paraId="70C869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6443.02</w:t>
            </w:r>
          </w:p>
        </w:tc>
        <w:tc>
          <w:tcPr>
            <w:tcW w:w="852" w:type="dxa"/>
            <w:tcBorders>
              <w:top w:val="nil"/>
              <w:left w:val="nil"/>
              <w:bottom w:val="single" w:color="000000" w:sz="8" w:space="0"/>
              <w:right w:val="single" w:color="000000" w:sz="8" w:space="0"/>
            </w:tcBorders>
            <w:shd w:val="clear" w:color="auto" w:fill="auto"/>
            <w:noWrap/>
            <w:vAlign w:val="center"/>
          </w:tcPr>
          <w:p w14:paraId="0DC223D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200</w:t>
            </w:r>
          </w:p>
        </w:tc>
        <w:tc>
          <w:tcPr>
            <w:tcW w:w="983" w:type="dxa"/>
            <w:tcBorders>
              <w:top w:val="nil"/>
              <w:left w:val="nil"/>
              <w:bottom w:val="single" w:color="000000" w:sz="8" w:space="0"/>
              <w:right w:val="single" w:color="000000" w:sz="8" w:space="0"/>
            </w:tcBorders>
            <w:shd w:val="clear" w:color="auto" w:fill="auto"/>
            <w:noWrap/>
            <w:vAlign w:val="center"/>
          </w:tcPr>
          <w:p w14:paraId="09A7F7B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17.66</w:t>
            </w:r>
          </w:p>
        </w:tc>
        <w:tc>
          <w:tcPr>
            <w:tcW w:w="1138" w:type="dxa"/>
            <w:tcBorders>
              <w:top w:val="nil"/>
              <w:left w:val="nil"/>
              <w:bottom w:val="single" w:color="000000" w:sz="8" w:space="0"/>
              <w:right w:val="single" w:color="000000" w:sz="8" w:space="0"/>
            </w:tcBorders>
            <w:shd w:val="clear" w:color="auto" w:fill="auto"/>
            <w:noWrap/>
            <w:vAlign w:val="center"/>
          </w:tcPr>
          <w:p w14:paraId="46A2CD1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6643.02</w:t>
            </w:r>
          </w:p>
        </w:tc>
        <w:tc>
          <w:tcPr>
            <w:tcW w:w="787" w:type="dxa"/>
            <w:tcBorders>
              <w:top w:val="nil"/>
              <w:left w:val="nil"/>
              <w:bottom w:val="single" w:color="000000" w:sz="8" w:space="0"/>
              <w:right w:val="single" w:color="000000" w:sz="8" w:space="0"/>
            </w:tcBorders>
            <w:shd w:val="clear" w:color="auto" w:fill="auto"/>
            <w:noWrap/>
            <w:vAlign w:val="center"/>
          </w:tcPr>
          <w:p w14:paraId="287613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160" w:type="dxa"/>
            <w:tcBorders>
              <w:top w:val="nil"/>
              <w:left w:val="nil"/>
              <w:bottom w:val="single" w:color="000000" w:sz="8" w:space="0"/>
              <w:right w:val="single" w:color="000000" w:sz="8" w:space="0"/>
            </w:tcBorders>
            <w:shd w:val="clear" w:color="auto" w:fill="auto"/>
            <w:noWrap/>
            <w:vAlign w:val="center"/>
          </w:tcPr>
          <w:p w14:paraId="3CF43B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4923.68</w:t>
            </w:r>
          </w:p>
        </w:tc>
        <w:tc>
          <w:tcPr>
            <w:tcW w:w="1093" w:type="dxa"/>
            <w:tcBorders>
              <w:top w:val="nil"/>
              <w:left w:val="nil"/>
              <w:bottom w:val="single" w:color="000000" w:sz="8" w:space="0"/>
              <w:right w:val="single" w:color="000000" w:sz="8" w:space="0"/>
            </w:tcBorders>
            <w:shd w:val="clear" w:color="auto" w:fill="auto"/>
            <w:noWrap/>
            <w:vAlign w:val="center"/>
          </w:tcPr>
          <w:p w14:paraId="42915B1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74.12%</w:t>
            </w:r>
          </w:p>
        </w:tc>
        <w:tc>
          <w:tcPr>
            <w:tcW w:w="1067" w:type="dxa"/>
            <w:tcBorders>
              <w:top w:val="nil"/>
              <w:left w:val="nil"/>
              <w:bottom w:val="single" w:color="000000" w:sz="8" w:space="0"/>
              <w:right w:val="single" w:color="000000" w:sz="8" w:space="0"/>
            </w:tcBorders>
            <w:shd w:val="clear" w:color="auto" w:fill="auto"/>
            <w:noWrap/>
            <w:vAlign w:val="center"/>
          </w:tcPr>
          <w:p w14:paraId="1DD31B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1719.34</w:t>
            </w:r>
          </w:p>
        </w:tc>
      </w:tr>
      <w:tr w14:paraId="4CB06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306" w:type="dxa"/>
            <w:tcBorders>
              <w:top w:val="nil"/>
              <w:left w:val="single" w:color="000000" w:sz="8" w:space="0"/>
              <w:bottom w:val="single" w:color="000000" w:sz="8" w:space="0"/>
              <w:right w:val="single" w:color="000000" w:sz="8" w:space="0"/>
            </w:tcBorders>
            <w:shd w:val="clear" w:color="auto" w:fill="auto"/>
            <w:noWrap/>
            <w:vAlign w:val="center"/>
          </w:tcPr>
          <w:p w14:paraId="095FD8B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2018-2021</w:t>
            </w:r>
          </w:p>
        </w:tc>
        <w:tc>
          <w:tcPr>
            <w:tcW w:w="1014" w:type="dxa"/>
            <w:tcBorders>
              <w:top w:val="nil"/>
              <w:left w:val="nil"/>
              <w:bottom w:val="single" w:color="000000" w:sz="8" w:space="0"/>
              <w:right w:val="single" w:color="000000" w:sz="8" w:space="0"/>
            </w:tcBorders>
            <w:shd w:val="clear" w:color="auto" w:fill="auto"/>
            <w:noWrap/>
            <w:vAlign w:val="center"/>
          </w:tcPr>
          <w:p w14:paraId="4B40536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w:t>
            </w:r>
          </w:p>
        </w:tc>
        <w:tc>
          <w:tcPr>
            <w:tcW w:w="852" w:type="dxa"/>
            <w:tcBorders>
              <w:top w:val="nil"/>
              <w:left w:val="nil"/>
              <w:bottom w:val="single" w:color="000000" w:sz="8" w:space="0"/>
              <w:right w:val="single" w:color="000000" w:sz="8" w:space="0"/>
            </w:tcBorders>
            <w:shd w:val="clear" w:color="auto" w:fill="auto"/>
            <w:noWrap/>
            <w:vAlign w:val="center"/>
          </w:tcPr>
          <w:p w14:paraId="3C17AB3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47006</w:t>
            </w:r>
          </w:p>
        </w:tc>
        <w:tc>
          <w:tcPr>
            <w:tcW w:w="983" w:type="dxa"/>
            <w:tcBorders>
              <w:top w:val="nil"/>
              <w:left w:val="nil"/>
              <w:bottom w:val="single" w:color="000000" w:sz="8" w:space="0"/>
              <w:right w:val="single" w:color="000000" w:sz="8" w:space="0"/>
            </w:tcBorders>
            <w:shd w:val="clear" w:color="auto" w:fill="auto"/>
            <w:noWrap/>
            <w:vAlign w:val="center"/>
          </w:tcPr>
          <w:p w14:paraId="76E7023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77.11</w:t>
            </w:r>
          </w:p>
        </w:tc>
        <w:tc>
          <w:tcPr>
            <w:tcW w:w="1138" w:type="dxa"/>
            <w:tcBorders>
              <w:top w:val="nil"/>
              <w:left w:val="nil"/>
              <w:bottom w:val="single" w:color="000000" w:sz="8" w:space="0"/>
              <w:right w:val="single" w:color="000000" w:sz="8" w:space="0"/>
            </w:tcBorders>
            <w:shd w:val="clear" w:color="auto" w:fill="auto"/>
            <w:noWrap/>
            <w:vAlign w:val="center"/>
          </w:tcPr>
          <w:p w14:paraId="5FBEA1F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47006</w:t>
            </w:r>
          </w:p>
        </w:tc>
        <w:tc>
          <w:tcPr>
            <w:tcW w:w="787" w:type="dxa"/>
            <w:tcBorders>
              <w:top w:val="nil"/>
              <w:left w:val="nil"/>
              <w:bottom w:val="single" w:color="000000" w:sz="8" w:space="0"/>
              <w:right w:val="single" w:color="000000" w:sz="8" w:space="0"/>
            </w:tcBorders>
            <w:shd w:val="clear" w:color="auto" w:fill="auto"/>
            <w:noWrap/>
            <w:vAlign w:val="center"/>
          </w:tcPr>
          <w:p w14:paraId="6A5E8C3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160" w:type="dxa"/>
            <w:tcBorders>
              <w:top w:val="nil"/>
              <w:left w:val="nil"/>
              <w:bottom w:val="single" w:color="000000" w:sz="8" w:space="0"/>
              <w:right w:val="single" w:color="000000" w:sz="8" w:space="0"/>
            </w:tcBorders>
            <w:shd w:val="clear" w:color="auto" w:fill="auto"/>
            <w:noWrap/>
            <w:vAlign w:val="center"/>
          </w:tcPr>
          <w:p w14:paraId="1420826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45286.66</w:t>
            </w:r>
          </w:p>
        </w:tc>
        <w:tc>
          <w:tcPr>
            <w:tcW w:w="1093" w:type="dxa"/>
            <w:tcBorders>
              <w:top w:val="nil"/>
              <w:left w:val="nil"/>
              <w:bottom w:val="single" w:color="000000" w:sz="8" w:space="0"/>
              <w:right w:val="single" w:color="000000" w:sz="8" w:space="0"/>
            </w:tcBorders>
            <w:shd w:val="clear" w:color="auto" w:fill="auto"/>
            <w:noWrap/>
            <w:vAlign w:val="center"/>
          </w:tcPr>
          <w:p w14:paraId="6275925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96.34%</w:t>
            </w:r>
          </w:p>
        </w:tc>
        <w:tc>
          <w:tcPr>
            <w:tcW w:w="1067" w:type="dxa"/>
            <w:tcBorders>
              <w:top w:val="nil"/>
              <w:left w:val="nil"/>
              <w:bottom w:val="single" w:color="000000" w:sz="8" w:space="0"/>
              <w:right w:val="single" w:color="000000" w:sz="8" w:space="0"/>
            </w:tcBorders>
            <w:shd w:val="clear" w:color="auto" w:fill="auto"/>
            <w:noWrap/>
            <w:vAlign w:val="center"/>
          </w:tcPr>
          <w:p w14:paraId="1E10F58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w:t>
            </w:r>
          </w:p>
        </w:tc>
      </w:tr>
      <w:tr w14:paraId="1118D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1" w:hRule="atLeast"/>
        </w:trPr>
        <w:tc>
          <w:tcPr>
            <w:tcW w:w="1306" w:type="dxa"/>
            <w:tcBorders>
              <w:top w:val="nil"/>
              <w:left w:val="single" w:color="000000" w:sz="8" w:space="0"/>
              <w:bottom w:val="single" w:color="000000" w:sz="8" w:space="0"/>
              <w:right w:val="single" w:color="000000" w:sz="8" w:space="0"/>
            </w:tcBorders>
            <w:shd w:val="clear" w:color="auto" w:fill="auto"/>
            <w:noWrap/>
            <w:vAlign w:val="center"/>
          </w:tcPr>
          <w:p w14:paraId="407EFC4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2022</w:t>
            </w:r>
          </w:p>
        </w:tc>
        <w:tc>
          <w:tcPr>
            <w:tcW w:w="1014" w:type="dxa"/>
            <w:tcBorders>
              <w:top w:val="nil"/>
              <w:left w:val="nil"/>
              <w:bottom w:val="single" w:color="000000" w:sz="8" w:space="0"/>
              <w:right w:val="single" w:color="000000" w:sz="8" w:space="0"/>
            </w:tcBorders>
            <w:shd w:val="clear" w:color="auto" w:fill="auto"/>
            <w:noWrap/>
            <w:vAlign w:val="center"/>
          </w:tcPr>
          <w:p w14:paraId="362E5E9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1719.34</w:t>
            </w:r>
          </w:p>
        </w:tc>
        <w:tc>
          <w:tcPr>
            <w:tcW w:w="852" w:type="dxa"/>
            <w:tcBorders>
              <w:top w:val="nil"/>
              <w:left w:val="nil"/>
              <w:bottom w:val="single" w:color="000000" w:sz="8" w:space="0"/>
              <w:right w:val="single" w:color="000000" w:sz="8" w:space="0"/>
            </w:tcBorders>
            <w:shd w:val="clear" w:color="auto" w:fill="auto"/>
            <w:noWrap/>
            <w:vAlign w:val="center"/>
          </w:tcPr>
          <w:p w14:paraId="3B661F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w:t>
            </w:r>
          </w:p>
        </w:tc>
        <w:tc>
          <w:tcPr>
            <w:tcW w:w="983" w:type="dxa"/>
            <w:tcBorders>
              <w:top w:val="nil"/>
              <w:left w:val="nil"/>
              <w:bottom w:val="single" w:color="000000" w:sz="8" w:space="0"/>
              <w:right w:val="single" w:color="000000" w:sz="8" w:space="0"/>
            </w:tcBorders>
            <w:shd w:val="clear" w:color="auto" w:fill="auto"/>
            <w:vAlign w:val="center"/>
          </w:tcPr>
          <w:p w14:paraId="657EE7C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7.12(</w:t>
            </w:r>
            <w:r>
              <w:rPr>
                <w:rFonts w:hint="eastAsia" w:ascii="Times New Roman" w:hAnsi="Times New Roman" w:eastAsia="宋体" w:cs="Times New Roman"/>
                <w:i w:val="0"/>
                <w:iCs w:val="0"/>
                <w:color w:val="000000"/>
                <w:kern w:val="0"/>
                <w:sz w:val="24"/>
                <w:szCs w:val="24"/>
                <w:u w:val="none"/>
                <w:lang w:val="en-US" w:eastAsia="zh-CN" w:bidi="ar"/>
              </w:rPr>
              <w:t>含工作经费补助</w:t>
            </w:r>
            <w:r>
              <w:rPr>
                <w:rFonts w:hint="default" w:ascii="Times New Roman" w:hAnsi="Times New Roman" w:eastAsia="宋体" w:cs="Times New Roman"/>
                <w:i w:val="0"/>
                <w:iCs w:val="0"/>
                <w:color w:val="000000"/>
                <w:kern w:val="0"/>
                <w:sz w:val="24"/>
                <w:szCs w:val="24"/>
                <w:u w:val="none"/>
                <w:lang w:val="en-US" w:eastAsia="zh-CN" w:bidi="ar"/>
              </w:rPr>
              <w:t>0.99</w:t>
            </w:r>
            <w:r>
              <w:rPr>
                <w:rFonts w:hint="eastAsia" w:ascii="Times New Roman" w:hAnsi="Times New Roman" w:eastAsia="宋体" w:cs="Times New Roman"/>
                <w:i w:val="0"/>
                <w:iCs w:val="0"/>
                <w:color w:val="000000"/>
                <w:kern w:val="0"/>
                <w:sz w:val="24"/>
                <w:szCs w:val="24"/>
                <w:u w:val="none"/>
                <w:lang w:val="en-US" w:eastAsia="zh-CN" w:bidi="ar"/>
              </w:rPr>
              <w:t>万元）</w:t>
            </w:r>
          </w:p>
        </w:tc>
        <w:tc>
          <w:tcPr>
            <w:tcW w:w="1138" w:type="dxa"/>
            <w:tcBorders>
              <w:top w:val="nil"/>
              <w:left w:val="nil"/>
              <w:bottom w:val="single" w:color="000000" w:sz="8" w:space="0"/>
              <w:right w:val="single" w:color="000000" w:sz="8" w:space="0"/>
            </w:tcBorders>
            <w:shd w:val="clear" w:color="auto" w:fill="auto"/>
            <w:noWrap/>
            <w:vAlign w:val="center"/>
          </w:tcPr>
          <w:p w14:paraId="28A7C6D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1803.57</w:t>
            </w:r>
          </w:p>
        </w:tc>
        <w:tc>
          <w:tcPr>
            <w:tcW w:w="787" w:type="dxa"/>
            <w:tcBorders>
              <w:top w:val="nil"/>
              <w:left w:val="nil"/>
              <w:bottom w:val="single" w:color="000000" w:sz="8" w:space="0"/>
              <w:right w:val="single" w:color="000000" w:sz="8" w:space="0"/>
            </w:tcBorders>
            <w:shd w:val="clear" w:color="auto" w:fill="auto"/>
            <w:noWrap/>
            <w:vAlign w:val="center"/>
          </w:tcPr>
          <w:p w14:paraId="3DF5EE1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160" w:type="dxa"/>
            <w:tcBorders>
              <w:top w:val="nil"/>
              <w:left w:val="nil"/>
              <w:bottom w:val="single" w:color="000000" w:sz="8" w:space="0"/>
              <w:right w:val="single" w:color="000000" w:sz="8" w:space="0"/>
            </w:tcBorders>
            <w:shd w:val="clear" w:color="auto" w:fill="auto"/>
            <w:noWrap/>
            <w:vAlign w:val="center"/>
          </w:tcPr>
          <w:p w14:paraId="1CAD1E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1803.57</w:t>
            </w:r>
          </w:p>
        </w:tc>
        <w:tc>
          <w:tcPr>
            <w:tcW w:w="1093" w:type="dxa"/>
            <w:tcBorders>
              <w:top w:val="nil"/>
              <w:left w:val="nil"/>
              <w:bottom w:val="single" w:color="000000" w:sz="8" w:space="0"/>
              <w:right w:val="single" w:color="000000" w:sz="8" w:space="0"/>
            </w:tcBorders>
            <w:shd w:val="clear" w:color="auto" w:fill="auto"/>
            <w:noWrap/>
            <w:vAlign w:val="center"/>
          </w:tcPr>
          <w:p w14:paraId="3217E83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100.00%</w:t>
            </w:r>
          </w:p>
        </w:tc>
        <w:tc>
          <w:tcPr>
            <w:tcW w:w="1067" w:type="dxa"/>
            <w:tcBorders>
              <w:top w:val="nil"/>
              <w:left w:val="nil"/>
              <w:bottom w:val="single" w:color="000000" w:sz="8" w:space="0"/>
              <w:right w:val="single" w:color="000000" w:sz="8" w:space="0"/>
            </w:tcBorders>
            <w:shd w:val="clear" w:color="auto" w:fill="auto"/>
            <w:noWrap/>
            <w:vAlign w:val="center"/>
          </w:tcPr>
          <w:p w14:paraId="4031008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w:t>
            </w:r>
          </w:p>
        </w:tc>
      </w:tr>
      <w:tr w14:paraId="038D4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306" w:type="dxa"/>
            <w:tcBorders>
              <w:top w:val="nil"/>
              <w:left w:val="single" w:color="000000" w:sz="8" w:space="0"/>
              <w:bottom w:val="single" w:color="000000" w:sz="8" w:space="0"/>
              <w:right w:val="single" w:color="000000" w:sz="8" w:space="0"/>
            </w:tcBorders>
            <w:shd w:val="clear" w:color="auto" w:fill="auto"/>
            <w:noWrap/>
            <w:vAlign w:val="center"/>
          </w:tcPr>
          <w:p w14:paraId="15CA8F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w:t>
            </w:r>
          </w:p>
        </w:tc>
        <w:tc>
          <w:tcPr>
            <w:tcW w:w="1014" w:type="dxa"/>
            <w:tcBorders>
              <w:top w:val="nil"/>
              <w:left w:val="nil"/>
              <w:bottom w:val="single" w:color="000000" w:sz="8" w:space="0"/>
              <w:right w:val="single" w:color="000000" w:sz="8" w:space="0"/>
            </w:tcBorders>
            <w:shd w:val="clear" w:color="auto" w:fill="auto"/>
            <w:noWrap/>
            <w:vAlign w:val="center"/>
          </w:tcPr>
          <w:p w14:paraId="49223BD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1835" w:type="dxa"/>
            <w:gridSpan w:val="2"/>
            <w:tcBorders>
              <w:top w:val="nil"/>
              <w:left w:val="nil"/>
              <w:bottom w:val="single" w:color="000000" w:sz="8" w:space="0"/>
              <w:right w:val="single" w:color="000000" w:sz="8" w:space="0"/>
            </w:tcBorders>
            <w:shd w:val="clear" w:color="auto" w:fill="auto"/>
            <w:noWrap/>
            <w:vAlign w:val="center"/>
          </w:tcPr>
          <w:p w14:paraId="7246D3E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47090.23</w:t>
            </w:r>
          </w:p>
        </w:tc>
        <w:tc>
          <w:tcPr>
            <w:tcW w:w="1138" w:type="dxa"/>
            <w:tcBorders>
              <w:top w:val="nil"/>
              <w:left w:val="nil"/>
              <w:bottom w:val="single" w:color="000000" w:sz="8" w:space="0"/>
              <w:right w:val="single" w:color="000000" w:sz="8" w:space="0"/>
            </w:tcBorders>
            <w:shd w:val="clear" w:color="auto" w:fill="auto"/>
            <w:noWrap/>
            <w:vAlign w:val="center"/>
          </w:tcPr>
          <w:p w14:paraId="0C72702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787" w:type="dxa"/>
            <w:tcBorders>
              <w:top w:val="nil"/>
              <w:left w:val="nil"/>
              <w:bottom w:val="single" w:color="000000" w:sz="8" w:space="0"/>
              <w:right w:val="single" w:color="000000" w:sz="8" w:space="0"/>
            </w:tcBorders>
            <w:shd w:val="clear" w:color="auto" w:fill="auto"/>
            <w:noWrap/>
            <w:vAlign w:val="center"/>
          </w:tcPr>
          <w:p w14:paraId="21A6D7D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160" w:type="dxa"/>
            <w:tcBorders>
              <w:top w:val="nil"/>
              <w:left w:val="nil"/>
              <w:bottom w:val="single" w:color="000000" w:sz="8" w:space="0"/>
              <w:right w:val="single" w:color="000000" w:sz="8" w:space="0"/>
            </w:tcBorders>
            <w:shd w:val="clear" w:color="auto" w:fill="auto"/>
            <w:noWrap/>
            <w:vAlign w:val="center"/>
          </w:tcPr>
          <w:p w14:paraId="118FC90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47090.23</w:t>
            </w:r>
          </w:p>
        </w:tc>
        <w:tc>
          <w:tcPr>
            <w:tcW w:w="1093" w:type="dxa"/>
            <w:tcBorders>
              <w:top w:val="nil"/>
              <w:left w:val="nil"/>
              <w:bottom w:val="single" w:color="000000" w:sz="8" w:space="0"/>
              <w:right w:val="single" w:color="000000" w:sz="8" w:space="0"/>
            </w:tcBorders>
            <w:shd w:val="clear" w:color="auto" w:fill="auto"/>
            <w:noWrap/>
            <w:vAlign w:val="center"/>
          </w:tcPr>
          <w:p w14:paraId="382A421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1067" w:type="dxa"/>
            <w:tcBorders>
              <w:top w:val="nil"/>
              <w:left w:val="nil"/>
              <w:bottom w:val="single" w:color="000000" w:sz="8" w:space="0"/>
              <w:right w:val="single" w:color="000000" w:sz="8" w:space="0"/>
            </w:tcBorders>
            <w:shd w:val="clear" w:color="auto" w:fill="auto"/>
            <w:noWrap/>
            <w:vAlign w:val="center"/>
          </w:tcPr>
          <w:p w14:paraId="10A2C8B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r>
    </w:tbl>
    <w:p w14:paraId="6707DF9E">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1"/>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（四）项目组织实施情况</w:t>
      </w:r>
    </w:p>
    <w:p w14:paraId="61E30BCB">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1.工程建设</w:t>
      </w:r>
      <w:r>
        <w:rPr>
          <w:rFonts w:hint="eastAsia" w:ascii="Times New Roman" w:hAnsi="Times New Roman" w:eastAsia="仿宋_GB2312" w:cs="Times New Roman"/>
          <w:kern w:val="2"/>
          <w:sz w:val="32"/>
          <w:szCs w:val="32"/>
          <w:lang w:val="en-US" w:eastAsia="zh-CN" w:bidi="ar-SA"/>
        </w:rPr>
        <w:t>：项目建设按照省级规划确定的规模、自然村点位、线路方案进行，其中：2017年11月22日前在建及完成前期准备工作的项目按原模式继续实施。主要建设技术指标按《公路工程技术标准》（JTG B01-2014）、《农村公路建设暂行技术要求》（交公路发〔2004〕372号）等规定，一般不低于四级公路技术标准，路基宽带不小于4.5米，路面宽带不小于3.5米，采用水泥混凝土路面，路面面层厚度不小于18厘米、强度等级不低于C25路面采用强制式拌合机拌合的水泥混凝土浇筑，采用4.5米路基宽度或3.5米路基宽带时每300米左右设置一个错车道（全幅宽6米，长10米），需要设置倒车坪的按照错车道标准建设，同步建设好路肩和排水设施，在陡坡、急弯、沿河、村庄和人群聚集地等路段因地制宜设置必要的安全防护设施和警示标志。桥梁、隧道工程项目由有相应资质的设计单位承担，市交通运输局审批。</w:t>
      </w:r>
    </w:p>
    <w:p w14:paraId="7DA336F2">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2.项目验收：</w:t>
      </w:r>
      <w:r>
        <w:rPr>
          <w:rFonts w:hint="eastAsia" w:ascii="Times New Roman" w:hAnsi="Times New Roman" w:eastAsia="仿宋_GB2312" w:cs="Times New Roman"/>
          <w:kern w:val="2"/>
          <w:sz w:val="32"/>
          <w:szCs w:val="32"/>
          <w:lang w:val="en-US" w:eastAsia="zh-CN" w:bidi="ar-SA"/>
        </w:rPr>
        <w:t>项目建设实行验收制度，路基验收由县市区交通质量安全监督所、乡（镇）村、路基施工方、路面施工方等参加，出具路基工程验收鉴定书，并与路桥公司进行路面施工前的交接；在路面施工单位申请验收后15日内，各县市区交通运输局按照100%的比例进行验收，验收时财政、审计、公安交通管理、安全监管、乡镇政府村委会等部门(单位）派人参与，并在竣工验收鉴定书上加盖公章，各县市区将工程竣工验收鉴定书装订成册，交由市指挥部统一保管，后期一并移交至市交通运输局存档；工程验收合格后，各县市区交通运输局更新数据库和电子地图，逐级汇总上报。</w:t>
      </w:r>
    </w:p>
    <w:p w14:paraId="06245C40">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3.项目监督：</w:t>
      </w:r>
      <w:r>
        <w:rPr>
          <w:rFonts w:hint="eastAsia" w:ascii="Times New Roman" w:hAnsi="Times New Roman" w:eastAsia="仿宋_GB2312" w:cs="Times New Roman"/>
          <w:kern w:val="2"/>
          <w:sz w:val="32"/>
          <w:szCs w:val="32"/>
          <w:lang w:val="en-US" w:eastAsia="zh-CN" w:bidi="ar-SA"/>
        </w:rPr>
        <w:t>市指挥部印发《邵阳市脱贫攻坚自然村通水泥（沥青）路建设检查考核办法》（市村通路指〔2018〕14号），确认实行月督察、年底考核工作机制，全面督察项目建设情况，进行通报并上报省厅。市指挥部根据《检查考核办法》，每月下旬对建设情况进行检查，将检查结果发文通报各单位（部门），并指出其存在的问题，提出整改要求；2019年1月对2018年度建设情况进行了通报，印发了《2018年邵阳市脱贫攻坚自然村通水泥路建设情况通报》（市村通路指〔2019〕2号）；分别在2019年3月和2020年3月对全市已完工项目按20%的比例进行了随机抽验，分别印发了《全市2018年脱贫攻坚自然村通水泥（沥青）路已完工项目抽验情况通报》（市村通路指〔2019〕10号）、《全市2019年脱贫攻坚自然村通水泥（沥青）路已完工项目抽验情况通报》（市村通路指〔2020〕2号）。</w:t>
      </w:r>
    </w:p>
    <w:p w14:paraId="1C4AE8EC">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outlineLvl w:val="1"/>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（五）专项资金预算绩效目标</w:t>
      </w:r>
    </w:p>
    <w:p w14:paraId="414E5CC4">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本项目未编报预算绩效目标，根据《实施方案》（邵市政办函〔2018〕10号）和《实施细则》（市村通路指〔2018〕2号）对项目建设相关要求，将主要工作任务归纳为以下绩效指标：</w:t>
      </w:r>
    </w:p>
    <w:p w14:paraId="3652E54C">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产出数量：</w:t>
      </w:r>
      <w:r>
        <w:rPr>
          <w:rFonts w:hint="eastAsia" w:ascii="Times New Roman" w:hAnsi="Times New Roman" w:eastAsia="仿宋_GB2312" w:cs="Times New Roman"/>
          <w:kern w:val="2"/>
          <w:sz w:val="32"/>
          <w:szCs w:val="32"/>
          <w:lang w:val="en-US" w:eastAsia="zh-CN" w:bidi="ar-SA"/>
        </w:rPr>
        <w:t>实现邵阳市全市所有自然村通水泥（沥青）路，建设里程3389.328公里水泥（沥青）路建设，完成4240个项目。</w:t>
      </w:r>
    </w:p>
    <w:p w14:paraId="2E95A455">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产出质量：</w:t>
      </w:r>
      <w:r>
        <w:rPr>
          <w:rFonts w:hint="eastAsia" w:ascii="Times New Roman" w:hAnsi="Times New Roman" w:eastAsia="仿宋_GB2312" w:cs="Times New Roman"/>
          <w:kern w:val="2"/>
          <w:sz w:val="32"/>
          <w:szCs w:val="32"/>
          <w:lang w:val="en-US" w:eastAsia="zh-CN" w:bidi="ar-SA"/>
        </w:rPr>
        <w:t>项目建设技术指标应符合《公路工程技术标准》（JTGB01-2014）、《农村公路建设暂行技术要求》（交公路发〔2004〕372号）等规定，一般应不低于四级公路技术标准，路基宽度不小于4.5米，路面宽度不小于3.5米。采用水泥混凝土路面，非重载交通的路面面层厚度不小于18厘米、强度等级不低于C25，基层必须满足强度和平整度的要求；采用沥青路面，路面面层厚度不小于4厘米，水泥稳定类基层厚度不小于18厘米，推广应用新技术、新材料和新工艺。</w:t>
      </w:r>
    </w:p>
    <w:p w14:paraId="61BCBB45">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产出时效：</w:t>
      </w:r>
      <w:r>
        <w:rPr>
          <w:rFonts w:hint="eastAsia" w:ascii="Times New Roman" w:hAnsi="Times New Roman" w:eastAsia="仿宋_GB2312" w:cs="Times New Roman"/>
          <w:kern w:val="2"/>
          <w:sz w:val="32"/>
          <w:szCs w:val="32"/>
          <w:lang w:val="en-US" w:eastAsia="zh-CN" w:bidi="ar-SA"/>
        </w:rPr>
        <w:t>2018年，实施3630个自然村2944.621公里；2019年，实施610个自然村444.707公里。验收及时率达到100%。</w:t>
      </w:r>
    </w:p>
    <w:p w14:paraId="13584E72">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产出成本：</w:t>
      </w:r>
      <w:r>
        <w:rPr>
          <w:rFonts w:hint="eastAsia" w:ascii="Times New Roman" w:hAnsi="Times New Roman" w:eastAsia="仿宋_GB2312" w:cs="Times New Roman"/>
          <w:kern w:val="2"/>
          <w:sz w:val="32"/>
          <w:szCs w:val="32"/>
          <w:lang w:val="en-US" w:eastAsia="zh-CN" w:bidi="ar-SA"/>
        </w:rPr>
        <w:t>市级奖补资金标准：贫困村每公里奖补1.5万元，非贫村每公里奖补1万元。</w:t>
      </w:r>
    </w:p>
    <w:p w14:paraId="6D801278">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经济效益：</w:t>
      </w:r>
      <w:r>
        <w:rPr>
          <w:rFonts w:hint="eastAsia" w:ascii="Times New Roman" w:hAnsi="Times New Roman" w:eastAsia="仿宋_GB2312" w:cs="Times New Roman"/>
          <w:kern w:val="2"/>
          <w:sz w:val="32"/>
          <w:szCs w:val="32"/>
          <w:lang w:val="en-US" w:eastAsia="zh-CN" w:bidi="ar-SA"/>
        </w:rPr>
        <w:t>带动农业产业增收，以道路建设为纽带，以公路为基点，增加农产品销售量，实现利益最大化，提高贫困户收入，推动脱贫攻坚工作。</w:t>
      </w:r>
    </w:p>
    <w:p w14:paraId="2224C764">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社会效益：</w:t>
      </w:r>
      <w:r>
        <w:rPr>
          <w:rFonts w:hint="eastAsia" w:ascii="Times New Roman" w:hAnsi="Times New Roman" w:eastAsia="仿宋_GB2312" w:cs="Times New Roman"/>
          <w:kern w:val="2"/>
          <w:sz w:val="32"/>
          <w:szCs w:val="32"/>
          <w:lang w:val="en-US" w:eastAsia="zh-CN" w:bidi="ar-SA"/>
        </w:rPr>
        <w:t>节省交通运输时间、带动运输业发展、便捷老百姓日常出行。</w:t>
      </w:r>
    </w:p>
    <w:p w14:paraId="7D7F08D4">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可持续影响：</w:t>
      </w:r>
      <w:r>
        <w:rPr>
          <w:rFonts w:hint="eastAsia" w:ascii="Times New Roman" w:hAnsi="Times New Roman" w:eastAsia="仿宋_GB2312" w:cs="Times New Roman"/>
          <w:kern w:val="2"/>
          <w:sz w:val="32"/>
          <w:szCs w:val="32"/>
          <w:lang w:val="en-US" w:eastAsia="zh-CN" w:bidi="ar-SA"/>
        </w:rPr>
        <w:t>公路具备长期通畅能力，验收后配套管养资金，保障公路使用年限。</w:t>
      </w:r>
    </w:p>
    <w:p w14:paraId="1566CA56">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满意度：</w:t>
      </w:r>
      <w:r>
        <w:rPr>
          <w:rFonts w:hint="eastAsia" w:ascii="Times New Roman" w:hAnsi="Times New Roman" w:eastAsia="仿宋_GB2312" w:cs="Times New Roman"/>
          <w:kern w:val="2"/>
          <w:sz w:val="32"/>
          <w:szCs w:val="32"/>
          <w:lang w:val="en-US" w:eastAsia="zh-CN" w:bidi="ar-SA"/>
        </w:rPr>
        <w:t>社会公众满意度90%以上。</w:t>
      </w:r>
    </w:p>
    <w:p w14:paraId="5D81C501">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outlineLvl w:val="1"/>
        <w:rPr>
          <w:rFonts w:hint="default"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（六）预算绩效目标完成情况</w:t>
      </w:r>
    </w:p>
    <w:p w14:paraId="424E118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highlight w:val="none"/>
          <w:lang w:val="en-US" w:eastAsia="zh-CN" w:bidi="ar-SA"/>
        </w:rPr>
        <w:t>截至2020年底，邵阳市自然村通水泥路已完成建设里程3726公里，共计4240个项目，项目建设在计划时间内完成，完成及时率全部达标。</w:t>
      </w:r>
      <w:r>
        <w:rPr>
          <w:rFonts w:hint="eastAsia" w:ascii="Times New Roman" w:hAnsi="Times New Roman" w:eastAsia="仿宋_GB2312" w:cs="Times New Roman"/>
          <w:kern w:val="2"/>
          <w:sz w:val="32"/>
          <w:szCs w:val="32"/>
          <w:lang w:val="en-US" w:eastAsia="zh-CN" w:bidi="ar-SA"/>
        </w:rPr>
        <w:t>2018年、2019年邵阳市被评为全省重点民生实事农村公路建设优胜单位。项目建设技术指标符合《公路工程技术标准》（JTGB01-2014）、《农村公路建设暂行技术要求》（交公路发〔2004〕372号）等规定，路基宽度及路面宽度均达到要求。市级配套资金按照规定标准拨付：贫困村每公里奖补1.5万元，非贫村每公里奖补1万元。</w:t>
      </w:r>
    </w:p>
    <w:p w14:paraId="410DFB1F">
      <w:pPr>
        <w:pageBreakBefore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自然村通水泥路建设的完成进一步完善了全市路网结构，使得老百姓的出行更加便利，增强了农村居民的获得感，提高了幸福指数，带动了农村产业增收，促进了农村经济发展，提高了农村居民收入，有力的推动了脱贫攻坚和乡村振兴。吸纳建档立卡贫困户参与农村公路养护。群众满意度为93%。</w:t>
      </w:r>
    </w:p>
    <w:p w14:paraId="3D07EAAC">
      <w:pPr>
        <w:pStyle w:val="3"/>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cs="Times New Roman"/>
          <w:b w:val="0"/>
          <w:bCs w:val="0"/>
          <w:sz w:val="32"/>
          <w:lang w:eastAsia="zh-CN"/>
        </w:rPr>
      </w:pPr>
      <w:bookmarkStart w:id="10" w:name="_Toc15330"/>
      <w:bookmarkStart w:id="11" w:name="_Toc30456"/>
      <w:bookmarkStart w:id="12" w:name="_Toc24799"/>
      <w:bookmarkStart w:id="13" w:name="_Toc16172"/>
      <w:bookmarkStart w:id="14" w:name="_Toc12563"/>
      <w:bookmarkStart w:id="15" w:name="_Toc25329"/>
      <w:r>
        <w:rPr>
          <w:rFonts w:hint="eastAsia" w:ascii="Times New Roman" w:hAnsi="Times New Roman" w:cs="Times New Roman"/>
          <w:b w:val="0"/>
          <w:bCs w:val="0"/>
          <w:sz w:val="32"/>
          <w:lang w:val="en-US" w:eastAsia="zh-CN"/>
        </w:rPr>
        <w:t>二、预算</w:t>
      </w:r>
      <w:r>
        <w:rPr>
          <w:rFonts w:hint="eastAsia" w:ascii="Times New Roman" w:hAnsi="Times New Roman" w:cs="Times New Roman"/>
          <w:b w:val="0"/>
          <w:bCs w:val="0"/>
          <w:sz w:val="32"/>
          <w:lang w:eastAsia="zh-CN"/>
        </w:rPr>
        <w:t>绩效评价工作</w:t>
      </w:r>
      <w:r>
        <w:rPr>
          <w:rFonts w:hint="eastAsia" w:ascii="Times New Roman" w:hAnsi="Times New Roman" w:cs="Times New Roman"/>
          <w:b w:val="0"/>
          <w:bCs w:val="0"/>
          <w:sz w:val="32"/>
          <w:lang w:val="en-US" w:eastAsia="zh-CN"/>
        </w:rPr>
        <w:t>开展</w:t>
      </w:r>
      <w:r>
        <w:rPr>
          <w:rFonts w:hint="eastAsia" w:ascii="Times New Roman" w:hAnsi="Times New Roman" w:cs="Times New Roman"/>
          <w:b w:val="0"/>
          <w:bCs w:val="0"/>
          <w:sz w:val="32"/>
          <w:lang w:eastAsia="zh-CN"/>
        </w:rPr>
        <w:t>情况</w:t>
      </w:r>
      <w:bookmarkEnd w:id="10"/>
      <w:bookmarkEnd w:id="11"/>
      <w:bookmarkEnd w:id="12"/>
      <w:bookmarkEnd w:id="13"/>
      <w:bookmarkEnd w:id="14"/>
      <w:bookmarkEnd w:id="15"/>
    </w:p>
    <w:p w14:paraId="60A9F588">
      <w:pPr>
        <w:pStyle w:val="4"/>
        <w:pageBreakBefore w:val="0"/>
        <w:widowControl w:val="0"/>
        <w:kinsoku/>
        <w:wordWrap/>
        <w:overflowPunct/>
        <w:topLinePunct w:val="0"/>
        <w:autoSpaceDE/>
        <w:autoSpaceDN/>
        <w:bidi w:val="0"/>
        <w:adjustRightInd/>
        <w:snapToGrid/>
        <w:spacing w:beforeLines="0" w:afterLines="0" w:line="560" w:lineRule="exact"/>
        <w:ind w:left="0" w:firstLine="643" w:firstLineChars="200"/>
        <w:textAlignment w:val="auto"/>
        <w:rPr>
          <w:rFonts w:hint="eastAsia" w:ascii="Calibri" w:hAnsi="Calibri" w:eastAsia="楷体_GB2312" w:cs="Times New Roman"/>
          <w:b/>
          <w:kern w:val="2"/>
          <w:sz w:val="32"/>
          <w:szCs w:val="32"/>
          <w:lang w:val="en-US" w:eastAsia="zh-CN" w:bidi="ar-SA"/>
        </w:rPr>
      </w:pPr>
      <w:bookmarkStart w:id="16" w:name="_Toc21446"/>
      <w:bookmarkStart w:id="17" w:name="_Toc22407"/>
      <w:bookmarkStart w:id="18" w:name="_Toc32578"/>
      <w:r>
        <w:rPr>
          <w:rFonts w:hint="eastAsia" w:ascii="Calibri" w:hAnsi="Calibri" w:eastAsia="楷体_GB2312" w:cs="Times New Roman"/>
          <w:b/>
          <w:kern w:val="2"/>
          <w:sz w:val="32"/>
          <w:szCs w:val="32"/>
          <w:lang w:val="en-US" w:eastAsia="zh-CN" w:bidi="ar-SA"/>
        </w:rPr>
        <w:t>（一）绩效评价目的</w:t>
      </w:r>
      <w:bookmarkEnd w:id="16"/>
      <w:bookmarkEnd w:id="17"/>
      <w:bookmarkEnd w:id="18"/>
    </w:p>
    <w:p w14:paraId="443BEDA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通过对邵阳市2018-2021年农村公路自然村通水泥路建设专项资金进行预算绩效评价，了解项目支出预算资金使用情况及取得的成果，及时发现资金管理和项目支出过程中存在的问题，提出相关建议和采取相应的措施，从而为加强预算绩效管理、提高专项资金的使用效益、强化预算约束提供重要的参考依据。</w:t>
      </w:r>
    </w:p>
    <w:p w14:paraId="123CF7EC">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baseline"/>
        <w:outlineLvl w:val="1"/>
        <w:rPr>
          <w:rFonts w:ascii="楷体" w:hAnsi="楷体" w:eastAsia="楷体" w:cs="楷体"/>
          <w:b/>
          <w:bCs/>
          <w:sz w:val="32"/>
          <w:szCs w:val="32"/>
        </w:rPr>
      </w:pPr>
      <w:bookmarkStart w:id="19" w:name="_Toc23600"/>
      <w:bookmarkStart w:id="20" w:name="_Toc11842"/>
      <w:bookmarkStart w:id="21" w:name="_Toc22165"/>
      <w:bookmarkStart w:id="22" w:name="_Toc29745"/>
      <w:bookmarkStart w:id="23" w:name="_Toc27511"/>
      <w:bookmarkStart w:id="24" w:name="_Toc6076"/>
      <w:bookmarkStart w:id="25" w:name="_Toc12780"/>
      <w:bookmarkStart w:id="26" w:name="_Toc22531"/>
      <w:bookmarkStart w:id="27" w:name="_Toc6376"/>
      <w:bookmarkStart w:id="28" w:name="_Toc2315"/>
      <w:bookmarkStart w:id="29" w:name="_Toc22978"/>
      <w:bookmarkStart w:id="30" w:name="_Toc5938"/>
      <w:bookmarkStart w:id="31" w:name="_Toc22734"/>
      <w:r>
        <w:rPr>
          <w:rFonts w:hint="eastAsia" w:ascii="楷体" w:hAnsi="楷体" w:eastAsia="楷体" w:cs="楷体"/>
          <w:b/>
          <w:bCs/>
          <w:sz w:val="32"/>
          <w:szCs w:val="32"/>
        </w:rPr>
        <w:t>（二）</w:t>
      </w:r>
      <w:r>
        <w:rPr>
          <w:rFonts w:hint="eastAsia" w:ascii="楷体" w:hAnsi="楷体" w:eastAsia="楷体" w:cs="楷体"/>
          <w:b/>
          <w:bCs/>
          <w:sz w:val="32"/>
          <w:szCs w:val="32"/>
          <w:lang w:val="en-US" w:eastAsia="zh-CN"/>
        </w:rPr>
        <w:t>绩效</w:t>
      </w:r>
      <w:r>
        <w:rPr>
          <w:rFonts w:hint="eastAsia" w:ascii="楷体" w:hAnsi="楷体" w:eastAsia="楷体" w:cs="楷体"/>
          <w:b/>
          <w:bCs/>
          <w:sz w:val="32"/>
          <w:szCs w:val="32"/>
        </w:rPr>
        <w:t>评价的基本原则</w:t>
      </w:r>
      <w:bookmarkEnd w:id="19"/>
      <w:bookmarkEnd w:id="20"/>
      <w:bookmarkEnd w:id="21"/>
      <w:bookmarkEnd w:id="22"/>
      <w:bookmarkEnd w:id="23"/>
      <w:bookmarkEnd w:id="24"/>
      <w:bookmarkEnd w:id="25"/>
      <w:bookmarkEnd w:id="26"/>
      <w:bookmarkEnd w:id="27"/>
      <w:bookmarkEnd w:id="28"/>
      <w:bookmarkEnd w:id="29"/>
      <w:bookmarkEnd w:id="30"/>
      <w:bookmarkEnd w:id="31"/>
    </w:p>
    <w:p w14:paraId="511A25BD">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1.科学规范</w:t>
      </w:r>
      <w:r>
        <w:rPr>
          <w:rFonts w:hint="eastAsia" w:ascii="Times New Roman" w:hAnsi="Times New Roman" w:eastAsia="仿宋_GB2312" w:cs="Times New Roman"/>
          <w:kern w:val="2"/>
          <w:sz w:val="32"/>
          <w:szCs w:val="32"/>
          <w:lang w:val="en-US" w:eastAsia="zh-CN" w:bidi="ar-SA"/>
        </w:rPr>
        <w:t>：注重专项资金的经济性、效率性和有效性，运用科学合理的方法，按照规范的程序，对财政运行绩效进行客观、公正的反映。</w:t>
      </w:r>
    </w:p>
    <w:p w14:paraId="4FCB793B">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2.统筹兼顾</w:t>
      </w:r>
      <w:r>
        <w:rPr>
          <w:rFonts w:hint="eastAsia" w:ascii="Times New Roman" w:hAnsi="Times New Roman" w:eastAsia="仿宋_GB2312" w:cs="Times New Roman"/>
          <w:kern w:val="2"/>
          <w:sz w:val="32"/>
          <w:szCs w:val="32"/>
          <w:lang w:val="en-US" w:eastAsia="zh-CN" w:bidi="ar-SA"/>
        </w:rPr>
        <w:t>：绩效评价应职责明确，各有侧重，相互衔接。在单位自评的基础上，对专项资金进行绩效评价。</w:t>
      </w:r>
    </w:p>
    <w:p w14:paraId="68868432">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3.激励约束：</w:t>
      </w:r>
      <w:r>
        <w:rPr>
          <w:rFonts w:hint="eastAsia" w:ascii="Times New Roman" w:hAnsi="Times New Roman" w:eastAsia="仿宋_GB2312" w:cs="Times New Roman"/>
          <w:kern w:val="2"/>
          <w:sz w:val="32"/>
          <w:szCs w:val="32"/>
          <w:lang w:val="en-US" w:eastAsia="zh-CN" w:bidi="ar-SA"/>
        </w:rPr>
        <w:t>绩效评价结果应与预算安排、政策调整、改进管理实质性挂钩，体现奖优罚劣和激励相容导向。即：有效要保障、低效要压减、无效要问责。</w:t>
      </w:r>
    </w:p>
    <w:p w14:paraId="18D420A1">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4.公开透明：</w:t>
      </w:r>
      <w:r>
        <w:rPr>
          <w:rFonts w:hint="eastAsia" w:ascii="Times New Roman" w:hAnsi="Times New Roman" w:eastAsia="仿宋_GB2312" w:cs="Times New Roman"/>
          <w:kern w:val="2"/>
          <w:sz w:val="32"/>
          <w:szCs w:val="32"/>
          <w:lang w:val="en-US" w:eastAsia="zh-CN" w:bidi="ar-SA"/>
        </w:rPr>
        <w:t>绩效评价结果应依法依规公开，并自觉接受社会监督。</w:t>
      </w:r>
    </w:p>
    <w:p w14:paraId="067629C6">
      <w:pPr>
        <w:pStyle w:val="4"/>
        <w:pageBreakBefore w:val="0"/>
        <w:widowControl w:val="0"/>
        <w:kinsoku/>
        <w:wordWrap/>
        <w:overflowPunct/>
        <w:topLinePunct w:val="0"/>
        <w:autoSpaceDE/>
        <w:autoSpaceDN/>
        <w:bidi w:val="0"/>
        <w:adjustRightInd/>
        <w:snapToGrid/>
        <w:spacing w:beforeLines="0" w:afterLines="0" w:line="560" w:lineRule="exact"/>
        <w:ind w:left="0" w:leftChars="0" w:firstLine="643" w:firstLineChars="200"/>
        <w:textAlignment w:val="auto"/>
        <w:rPr>
          <w:rFonts w:hint="eastAsia" w:ascii="Calibri" w:hAnsi="Calibri" w:eastAsia="楷体_GB2312" w:cs="Times New Roman"/>
          <w:b/>
          <w:kern w:val="2"/>
          <w:sz w:val="32"/>
          <w:szCs w:val="32"/>
          <w:lang w:val="en-US" w:eastAsia="zh-CN" w:bidi="ar-SA"/>
        </w:rPr>
      </w:pPr>
      <w:bookmarkStart w:id="32" w:name="_Toc6424"/>
      <w:bookmarkStart w:id="33" w:name="_Toc23337"/>
      <w:bookmarkStart w:id="34" w:name="_Toc23393"/>
      <w:r>
        <w:rPr>
          <w:rFonts w:hint="eastAsia" w:ascii="Calibri" w:hAnsi="Calibri" w:eastAsia="楷体_GB2312" w:cs="Times New Roman"/>
          <w:b/>
          <w:kern w:val="2"/>
          <w:sz w:val="32"/>
          <w:szCs w:val="32"/>
          <w:lang w:val="en-US" w:eastAsia="zh-CN" w:bidi="ar-SA"/>
        </w:rPr>
        <w:t>（三）绩效评价指标体系</w:t>
      </w:r>
      <w:bookmarkEnd w:id="32"/>
      <w:bookmarkEnd w:id="33"/>
      <w:bookmarkEnd w:id="34"/>
    </w:p>
    <w:p w14:paraId="483684C4">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40"/>
          <w:lang w:val="en-US" w:eastAsia="zh-CN"/>
        </w:rPr>
      </w:pPr>
      <w:r>
        <w:rPr>
          <w:rFonts w:hint="eastAsia" w:ascii="Times New Roman" w:hAnsi="Times New Roman" w:eastAsia="仿宋_GB2312" w:cs="仿宋_GB2312"/>
          <w:sz w:val="32"/>
          <w:szCs w:val="40"/>
          <w:lang w:val="en-US" w:eastAsia="zh-CN"/>
        </w:rPr>
        <w:t>按照《湖南省财政厅关于印发湖南省预算支出绩效评价管理办法的通知》（湘财绩〔2020〕7号）要求，评价组结合项目具体情况，设计了本项目支出的评价指标体系。指标体系分为共性指标和个性指标两部分，主要包括决策、过程、产出和效益四个维度，每个维度由一级、二级、三级指标构成，满分100分。绩效评价结果分为四个等级：90分（含）—100分为优，80分（含）—90分为良，60分（含）—80分为较差，60分以下为差。</w:t>
      </w:r>
    </w:p>
    <w:p w14:paraId="6A7378CF">
      <w:pPr>
        <w:pStyle w:val="4"/>
        <w:pageBreakBefore w:val="0"/>
        <w:widowControl w:val="0"/>
        <w:kinsoku/>
        <w:wordWrap/>
        <w:overflowPunct/>
        <w:topLinePunct w:val="0"/>
        <w:autoSpaceDE/>
        <w:autoSpaceDN/>
        <w:bidi w:val="0"/>
        <w:adjustRightInd/>
        <w:snapToGrid/>
        <w:spacing w:beforeLines="0" w:afterLines="0" w:line="560" w:lineRule="exact"/>
        <w:ind w:left="0" w:firstLine="643" w:firstLineChars="200"/>
        <w:textAlignment w:val="auto"/>
        <w:rPr>
          <w:rFonts w:hint="default" w:ascii="Calibri" w:hAnsi="Calibri" w:eastAsia="楷体_GB2312" w:cs="Times New Roman"/>
          <w:b/>
          <w:kern w:val="2"/>
          <w:sz w:val="32"/>
          <w:szCs w:val="32"/>
          <w:lang w:val="en-US" w:eastAsia="zh-CN" w:bidi="ar-SA"/>
        </w:rPr>
      </w:pPr>
      <w:bookmarkStart w:id="35" w:name="_Toc20430"/>
      <w:bookmarkStart w:id="36" w:name="_Toc23126"/>
      <w:bookmarkStart w:id="37" w:name="_Toc29371"/>
      <w:bookmarkStart w:id="38" w:name="_Toc25827"/>
      <w:bookmarkStart w:id="39" w:name="_Toc10801"/>
      <w:r>
        <w:rPr>
          <w:rFonts w:hint="default" w:ascii="Calibri" w:hAnsi="Calibri" w:eastAsia="楷体_GB2312" w:cs="Times New Roman"/>
          <w:b/>
          <w:kern w:val="2"/>
          <w:sz w:val="32"/>
          <w:szCs w:val="32"/>
          <w:lang w:val="en-US" w:eastAsia="zh-CN" w:bidi="ar-SA"/>
        </w:rPr>
        <w:t>（</w:t>
      </w:r>
      <w:r>
        <w:rPr>
          <w:rFonts w:hint="eastAsia" w:ascii="Calibri" w:hAnsi="Calibri" w:eastAsia="楷体_GB2312" w:cs="Times New Roman"/>
          <w:b/>
          <w:kern w:val="2"/>
          <w:sz w:val="32"/>
          <w:szCs w:val="32"/>
          <w:lang w:val="en-US" w:eastAsia="zh-CN" w:bidi="ar-SA"/>
        </w:rPr>
        <w:t>四</w:t>
      </w:r>
      <w:r>
        <w:rPr>
          <w:rFonts w:hint="default" w:ascii="Calibri" w:hAnsi="Calibri" w:eastAsia="楷体_GB2312" w:cs="Times New Roman"/>
          <w:b/>
          <w:kern w:val="2"/>
          <w:sz w:val="32"/>
          <w:szCs w:val="32"/>
          <w:lang w:val="en-US" w:eastAsia="zh-CN" w:bidi="ar-SA"/>
        </w:rPr>
        <w:t>）</w:t>
      </w:r>
      <w:r>
        <w:rPr>
          <w:rFonts w:hint="eastAsia" w:ascii="Calibri" w:hAnsi="Calibri" w:eastAsia="楷体_GB2312" w:cs="Times New Roman"/>
          <w:b/>
          <w:kern w:val="2"/>
          <w:sz w:val="32"/>
          <w:szCs w:val="32"/>
          <w:lang w:val="en-US" w:eastAsia="zh-CN" w:bidi="ar-SA"/>
        </w:rPr>
        <w:t>绩效</w:t>
      </w:r>
      <w:r>
        <w:rPr>
          <w:rFonts w:hint="default" w:ascii="Calibri" w:hAnsi="Calibri" w:eastAsia="楷体_GB2312" w:cs="Times New Roman"/>
          <w:b/>
          <w:kern w:val="2"/>
          <w:sz w:val="32"/>
          <w:szCs w:val="32"/>
          <w:lang w:val="en-US" w:eastAsia="zh-CN" w:bidi="ar-SA"/>
        </w:rPr>
        <w:t>评价的主要方法</w:t>
      </w:r>
      <w:bookmarkEnd w:id="35"/>
      <w:bookmarkEnd w:id="36"/>
    </w:p>
    <w:p w14:paraId="750C44EB">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仿宋_GB2312"/>
          <w:sz w:val="32"/>
          <w:szCs w:val="40"/>
          <w:lang w:val="en-US" w:eastAsia="zh-CN"/>
        </w:rPr>
      </w:pPr>
      <w:r>
        <w:rPr>
          <w:rFonts w:hint="default" w:ascii="Times New Roman" w:hAnsi="Times New Roman" w:eastAsia="仿宋_GB2312" w:cs="仿宋_GB2312"/>
          <w:sz w:val="32"/>
          <w:szCs w:val="40"/>
          <w:lang w:val="en-US" w:eastAsia="zh-CN"/>
        </w:rPr>
        <w:t>本次绩效评价技术方法采用比较法、公众评判法等；绩效评价的工作方法主要包括：收集审核资料，比对指标文件所下达的项目内容、资金预算与实际实施的情况，实地勘察，问卷调查和听取情况介绍等。</w:t>
      </w:r>
    </w:p>
    <w:p w14:paraId="15E0A295">
      <w:pPr>
        <w:pStyle w:val="4"/>
        <w:pageBreakBefore w:val="0"/>
        <w:widowControl w:val="0"/>
        <w:kinsoku/>
        <w:wordWrap/>
        <w:overflowPunct/>
        <w:topLinePunct w:val="0"/>
        <w:autoSpaceDE/>
        <w:autoSpaceDN/>
        <w:bidi w:val="0"/>
        <w:adjustRightInd/>
        <w:snapToGrid/>
        <w:spacing w:beforeLines="0" w:afterLines="0" w:line="560" w:lineRule="exact"/>
        <w:ind w:left="0" w:leftChars="0" w:firstLine="643" w:firstLineChars="200"/>
        <w:textAlignment w:val="auto"/>
        <w:rPr>
          <w:rFonts w:hint="eastAsia" w:ascii="Calibri" w:hAnsi="Calibri" w:eastAsia="楷体_GB2312" w:cs="Times New Roman"/>
          <w:b/>
          <w:kern w:val="2"/>
          <w:sz w:val="32"/>
          <w:szCs w:val="32"/>
          <w:lang w:val="en-US" w:eastAsia="zh-CN" w:bidi="ar-SA"/>
        </w:rPr>
      </w:pPr>
      <w:r>
        <w:rPr>
          <w:rFonts w:hint="eastAsia" w:ascii="Calibri" w:hAnsi="Calibri" w:eastAsia="楷体_GB2312" w:cs="Times New Roman"/>
          <w:b/>
          <w:kern w:val="2"/>
          <w:sz w:val="32"/>
          <w:szCs w:val="32"/>
          <w:lang w:val="en-US" w:eastAsia="zh-CN" w:bidi="ar-SA"/>
        </w:rPr>
        <w:t>（五）绩效评价的主要依据</w:t>
      </w:r>
      <w:bookmarkEnd w:id="37"/>
      <w:bookmarkEnd w:id="38"/>
      <w:bookmarkEnd w:id="39"/>
    </w:p>
    <w:p w14:paraId="68E213C1">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outlineLvl w:val="2"/>
        <w:rPr>
          <w:rFonts w:hint="eastAsia" w:ascii="Times New Roman" w:hAnsi="Times New Roman" w:eastAsia="仿宋_GB2312" w:cs="仿宋_GB2312"/>
          <w:sz w:val="32"/>
          <w:szCs w:val="40"/>
          <w:lang w:val="en-US" w:eastAsia="zh-CN"/>
        </w:rPr>
      </w:pPr>
      <w:bookmarkStart w:id="40" w:name="_Toc22098"/>
      <w:r>
        <w:rPr>
          <w:rFonts w:hint="eastAsia" w:ascii="Times New Roman" w:hAnsi="Times New Roman" w:eastAsia="仿宋_GB2312" w:cs="仿宋_GB2312"/>
          <w:sz w:val="32"/>
          <w:szCs w:val="40"/>
          <w:lang w:val="en-US" w:eastAsia="zh-CN"/>
        </w:rPr>
        <w:t>1.《中华人民共和国预算法》；</w:t>
      </w:r>
      <w:bookmarkEnd w:id="40"/>
    </w:p>
    <w:p w14:paraId="146F8697">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40"/>
          <w:lang w:val="en-US" w:eastAsia="zh-CN"/>
        </w:rPr>
      </w:pPr>
      <w:r>
        <w:rPr>
          <w:rFonts w:hint="eastAsia" w:ascii="Times New Roman" w:hAnsi="Times New Roman" w:eastAsia="仿宋_GB2312" w:cs="仿宋_GB2312"/>
          <w:sz w:val="32"/>
          <w:szCs w:val="40"/>
          <w:lang w:val="en-US" w:eastAsia="zh-CN"/>
        </w:rPr>
        <w:t>2.《中共中央</w:t>
      </w:r>
      <w:r>
        <w:rPr>
          <w:rFonts w:hint="eastAsia" w:eastAsia="仿宋_GB2312" w:cs="仿宋_GB2312"/>
          <w:sz w:val="32"/>
          <w:szCs w:val="40"/>
          <w:lang w:val="en-US" w:eastAsia="zh-CN"/>
        </w:rPr>
        <w:t xml:space="preserve"> </w:t>
      </w:r>
      <w:r>
        <w:rPr>
          <w:rFonts w:hint="eastAsia" w:ascii="Times New Roman" w:hAnsi="Times New Roman" w:eastAsia="仿宋_GB2312" w:cs="仿宋_GB2312"/>
          <w:sz w:val="32"/>
          <w:szCs w:val="40"/>
          <w:lang w:val="en-US" w:eastAsia="zh-CN"/>
        </w:rPr>
        <w:t>国务院关于全面实施预算绩效管理的意见》（中发〔2018〕34号）；</w:t>
      </w:r>
    </w:p>
    <w:p w14:paraId="304A9B14">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40"/>
          <w:lang w:val="en-US" w:eastAsia="zh-CN"/>
        </w:rPr>
      </w:pPr>
      <w:r>
        <w:rPr>
          <w:rFonts w:hint="eastAsia" w:ascii="Times New Roman" w:hAnsi="Times New Roman" w:eastAsia="仿宋_GB2312" w:cs="仿宋_GB2312"/>
          <w:sz w:val="32"/>
          <w:szCs w:val="40"/>
          <w:lang w:val="en-US" w:eastAsia="zh-CN"/>
        </w:rPr>
        <w:t>3.财政部《项目支出绩效评价管理办法》（财预〔2020〕10 号）；</w:t>
      </w:r>
    </w:p>
    <w:p w14:paraId="67835072">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40"/>
          <w:lang w:val="en-US" w:eastAsia="zh-CN"/>
        </w:rPr>
      </w:pPr>
      <w:r>
        <w:rPr>
          <w:rFonts w:hint="eastAsia" w:ascii="Times New Roman" w:hAnsi="Times New Roman" w:eastAsia="仿宋_GB2312" w:cs="仿宋_GB2312"/>
          <w:sz w:val="32"/>
          <w:szCs w:val="40"/>
          <w:lang w:val="en-US" w:eastAsia="zh-CN"/>
        </w:rPr>
        <w:t>4.中共湖南省委办公厅、湖南省人民政府办公厅《关于全面实施预算绩效管理的实施意见》（湘办发〔2019〕10号）；</w:t>
      </w:r>
    </w:p>
    <w:p w14:paraId="342BE224">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40"/>
          <w:lang w:val="en-US" w:eastAsia="zh-CN"/>
        </w:rPr>
      </w:pPr>
      <w:r>
        <w:rPr>
          <w:rFonts w:hint="eastAsia" w:ascii="Times New Roman" w:hAnsi="Times New Roman" w:eastAsia="仿宋_GB2312" w:cs="仿宋_GB2312"/>
          <w:sz w:val="32"/>
          <w:szCs w:val="40"/>
          <w:lang w:val="en-US" w:eastAsia="zh-CN"/>
        </w:rPr>
        <w:t>5.《湖南省财政厅关于印发&lt;湖南省预算绩效目标管理办法&gt;的通知》（湘财绩〔2020〕6号）</w:t>
      </w:r>
    </w:p>
    <w:p w14:paraId="50E05A42">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40"/>
          <w:lang w:val="en-US" w:eastAsia="zh-CN"/>
        </w:rPr>
      </w:pPr>
      <w:r>
        <w:rPr>
          <w:rFonts w:hint="eastAsia" w:ascii="Times New Roman" w:hAnsi="Times New Roman" w:eastAsia="仿宋_GB2312" w:cs="仿宋_GB2312"/>
          <w:sz w:val="32"/>
          <w:szCs w:val="40"/>
          <w:lang w:val="en-US" w:eastAsia="zh-CN"/>
        </w:rPr>
        <w:t>6.《湖南省财政厅关于印发湖南省预算支出绩效评价管理办法的通知》（湘财绩〔2020〕7号）；</w:t>
      </w:r>
    </w:p>
    <w:p w14:paraId="5845806E">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40"/>
          <w:lang w:val="en-US" w:eastAsia="zh-CN"/>
        </w:rPr>
      </w:pPr>
      <w:r>
        <w:rPr>
          <w:rFonts w:hint="eastAsia" w:ascii="Times New Roman" w:hAnsi="Times New Roman" w:eastAsia="仿宋_GB2312" w:cs="仿宋_GB2312"/>
          <w:sz w:val="32"/>
          <w:szCs w:val="40"/>
          <w:lang w:val="en-US" w:eastAsia="zh-CN"/>
        </w:rPr>
        <w:t>7.现行相关政策规定和财务会计制度；</w:t>
      </w:r>
    </w:p>
    <w:p w14:paraId="45D6E392">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40"/>
          <w:lang w:val="en-US" w:eastAsia="zh-CN"/>
        </w:rPr>
      </w:pPr>
      <w:r>
        <w:rPr>
          <w:rFonts w:hint="eastAsia" w:ascii="Times New Roman" w:hAnsi="Times New Roman" w:eastAsia="仿宋_GB2312" w:cs="仿宋_GB2312"/>
          <w:sz w:val="32"/>
          <w:szCs w:val="40"/>
          <w:lang w:val="en-US" w:eastAsia="zh-CN"/>
        </w:rPr>
        <w:t>8.项目资金的指标文件、预算执行和项目实施的有关材料等；</w:t>
      </w:r>
    </w:p>
    <w:p w14:paraId="7FD2F836">
      <w:pPr>
        <w:keepNext w:val="0"/>
        <w:keepLines w:val="0"/>
        <w:pageBreakBefore w:val="0"/>
        <w:widowControl w:val="0"/>
        <w:tabs>
          <w:tab w:val="left" w:pos="2620"/>
        </w:tabs>
        <w:kinsoku/>
        <w:wordWrap/>
        <w:overflowPunct/>
        <w:topLinePunct w:val="0"/>
        <w:autoSpaceDE/>
        <w:autoSpaceDN/>
        <w:bidi w:val="0"/>
        <w:adjustRightInd/>
        <w:snapToGrid/>
        <w:spacing w:line="560" w:lineRule="exact"/>
        <w:ind w:left="0" w:firstLine="640" w:firstLineChars="200"/>
        <w:textAlignment w:val="auto"/>
        <w:rPr>
          <w:rFonts w:hint="eastAsia" w:ascii="Calibri" w:hAnsi="Calibri" w:eastAsia="楷体_GB2312" w:cs="Times New Roman"/>
          <w:b/>
          <w:kern w:val="2"/>
          <w:sz w:val="32"/>
          <w:szCs w:val="32"/>
          <w:lang w:val="en-US" w:eastAsia="zh-CN" w:bidi="ar-SA"/>
        </w:rPr>
      </w:pPr>
      <w:r>
        <w:rPr>
          <w:rFonts w:hint="eastAsia" w:ascii="Times New Roman" w:hAnsi="Times New Roman" w:eastAsia="仿宋_GB2312" w:cs="仿宋_GB2312"/>
          <w:sz w:val="32"/>
          <w:szCs w:val="40"/>
          <w:lang w:val="en-US" w:eastAsia="zh-CN"/>
        </w:rPr>
        <w:t>9.现场评价查阅的相关资料等。</w:t>
      </w:r>
      <w:bookmarkStart w:id="41" w:name="_Toc31997"/>
    </w:p>
    <w:bookmarkEnd w:id="41"/>
    <w:p w14:paraId="6E2560EB">
      <w:pPr>
        <w:pStyle w:val="3"/>
        <w:pageBreakBefore w:val="0"/>
        <w:numPr>
          <w:ilvl w:val="0"/>
          <w:numId w:val="0"/>
        </w:numPr>
        <w:kinsoku/>
        <w:wordWrap/>
        <w:overflowPunct/>
        <w:topLinePunct w:val="0"/>
        <w:autoSpaceDE/>
        <w:autoSpaceDN/>
        <w:bidi w:val="0"/>
        <w:adjustRightInd/>
        <w:snapToGrid/>
        <w:spacing w:line="560" w:lineRule="exact"/>
        <w:ind w:left="0" w:right="0" w:rightChars="0" w:firstLine="640" w:firstLineChars="200"/>
        <w:jc w:val="both"/>
        <w:textAlignment w:val="auto"/>
        <w:rPr>
          <w:rFonts w:hint="eastAsia" w:ascii="Times New Roman" w:hAnsi="Times New Roman" w:cs="Times New Roman"/>
          <w:b w:val="0"/>
          <w:bCs w:val="0"/>
          <w:sz w:val="32"/>
          <w:lang w:eastAsia="zh-CN"/>
        </w:rPr>
      </w:pPr>
      <w:bookmarkStart w:id="42" w:name="_Toc31067"/>
      <w:bookmarkStart w:id="43" w:name="_Toc31833"/>
      <w:bookmarkStart w:id="44" w:name="_Toc5372"/>
      <w:bookmarkStart w:id="45" w:name="_Toc27894"/>
      <w:bookmarkStart w:id="46" w:name="_Toc26812"/>
      <w:bookmarkStart w:id="47" w:name="_Toc13105"/>
      <w:r>
        <w:rPr>
          <w:rFonts w:hint="eastAsia" w:ascii="Times New Roman" w:hAnsi="Times New Roman" w:cs="Times New Roman"/>
          <w:b w:val="0"/>
          <w:bCs w:val="0"/>
          <w:sz w:val="32"/>
          <w:lang w:val="en-US" w:eastAsia="zh-CN"/>
        </w:rPr>
        <w:t>三、项目支出主要</w:t>
      </w:r>
      <w:r>
        <w:rPr>
          <w:rFonts w:hint="eastAsia" w:ascii="Times New Roman" w:hAnsi="Times New Roman" w:cs="Times New Roman"/>
          <w:b w:val="0"/>
          <w:bCs w:val="0"/>
          <w:sz w:val="32"/>
          <w:lang w:eastAsia="zh-CN"/>
        </w:rPr>
        <w:t>绩效</w:t>
      </w:r>
      <w:r>
        <w:rPr>
          <w:rFonts w:hint="eastAsia" w:ascii="Times New Roman" w:hAnsi="Times New Roman" w:cs="Times New Roman"/>
          <w:b w:val="0"/>
          <w:bCs w:val="0"/>
          <w:sz w:val="32"/>
          <w:lang w:val="en-US" w:eastAsia="zh-CN"/>
        </w:rPr>
        <w:t>及</w:t>
      </w:r>
      <w:r>
        <w:rPr>
          <w:rFonts w:hint="eastAsia" w:ascii="Times New Roman" w:hAnsi="Times New Roman" w:cs="Times New Roman"/>
          <w:b w:val="0"/>
          <w:bCs w:val="0"/>
          <w:sz w:val="32"/>
          <w:lang w:eastAsia="zh-CN"/>
        </w:rPr>
        <w:t>评价结论</w:t>
      </w:r>
      <w:bookmarkEnd w:id="42"/>
      <w:bookmarkEnd w:id="43"/>
      <w:bookmarkEnd w:id="44"/>
      <w:bookmarkEnd w:id="45"/>
      <w:bookmarkEnd w:id="46"/>
      <w:bookmarkEnd w:id="47"/>
    </w:p>
    <w:p w14:paraId="35D19A62">
      <w:pPr>
        <w:pStyle w:val="4"/>
        <w:pageBreakBefore w:val="0"/>
        <w:widowControl w:val="0"/>
        <w:numPr>
          <w:ilvl w:val="0"/>
          <w:numId w:val="2"/>
        </w:numPr>
        <w:kinsoku/>
        <w:wordWrap/>
        <w:overflowPunct/>
        <w:topLinePunct w:val="0"/>
        <w:autoSpaceDE/>
        <w:autoSpaceDN/>
        <w:bidi w:val="0"/>
        <w:adjustRightInd/>
        <w:snapToGrid/>
        <w:spacing w:beforeLines="0" w:afterLines="0" w:line="560" w:lineRule="exact"/>
        <w:ind w:left="0" w:firstLine="643" w:firstLineChars="200"/>
        <w:textAlignment w:val="auto"/>
        <w:rPr>
          <w:rFonts w:hint="eastAsia"/>
          <w:sz w:val="32"/>
          <w:szCs w:val="32"/>
          <w:lang w:eastAsia="zh-CN"/>
        </w:rPr>
      </w:pPr>
      <w:r>
        <w:rPr>
          <w:rFonts w:hint="eastAsia"/>
          <w:sz w:val="32"/>
          <w:szCs w:val="32"/>
        </w:rPr>
        <w:t>项目</w:t>
      </w:r>
      <w:r>
        <w:rPr>
          <w:rFonts w:hint="eastAsia"/>
          <w:sz w:val="32"/>
          <w:szCs w:val="32"/>
          <w:lang w:val="en-US" w:eastAsia="zh-CN"/>
        </w:rPr>
        <w:t>主要绩效</w:t>
      </w:r>
    </w:p>
    <w:p w14:paraId="135635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1.带动地区产业增收，提高农村居民收入。</w:t>
      </w:r>
      <w:r>
        <w:rPr>
          <w:rFonts w:hint="eastAsia" w:ascii="Times New Roman" w:hAnsi="Times New Roman" w:eastAsia="仿宋_GB2312" w:cs="Times New Roman"/>
          <w:kern w:val="2"/>
          <w:sz w:val="32"/>
          <w:szCs w:val="32"/>
          <w:lang w:val="en-US" w:eastAsia="zh-CN" w:bidi="ar-SA"/>
        </w:rPr>
        <w:t>项目建设惠及500余万农村群众，创造了较好的交通经营环境，直接促进贫困地区产业增收1.2亿以上，并有力的带动了农产品销售，提高了农村居民收入，全市农村居民人均可支配收入逐年提升：2017年10756元、2018年11857元、2019年13055元、2020年14119元、2021年15700元。</w:t>
      </w:r>
    </w:p>
    <w:p w14:paraId="784E5993">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2.改善交通条件，提高道路通行能力。</w:t>
      </w:r>
      <w:r>
        <w:rPr>
          <w:rFonts w:hint="eastAsia" w:ascii="Times New Roman" w:hAnsi="Times New Roman" w:eastAsia="仿宋_GB2312" w:cs="Times New Roman"/>
          <w:kern w:val="2"/>
          <w:sz w:val="32"/>
          <w:szCs w:val="32"/>
          <w:lang w:val="en-US" w:eastAsia="zh-CN" w:bidi="ar-SA"/>
        </w:rPr>
        <w:t>项目建设改善了当地交通条件和出行环境，有利于消除道路安全隐患，保障人民群众出行安全；项目建成后，道路宽度、厚度及路面状况得到有力提升，提高了道路通行能力，更好的满足了当地百姓的日常出行。</w:t>
      </w:r>
    </w:p>
    <w:p w14:paraId="40534AEE">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3.与脱贫攻坚深度融合。</w:t>
      </w:r>
      <w:r>
        <w:rPr>
          <w:rFonts w:hint="eastAsia" w:ascii="仿宋" w:hAnsi="仿宋" w:eastAsia="仿宋" w:cs="仿宋"/>
          <w:b w:val="0"/>
          <w:i w:val="0"/>
          <w:caps w:val="0"/>
          <w:spacing w:val="0"/>
          <w:w w:val="100"/>
          <w:kern w:val="0"/>
          <w:sz w:val="32"/>
          <w:szCs w:val="32"/>
          <w:lang w:val="en-US" w:eastAsia="zh-CN" w:bidi="ar-SA"/>
        </w:rPr>
        <w:t>邵阳市按照“脱贫攻坚、交通先行”的要求，对自然村通水泥路项目政策优先倾斜、资金优先保障、措施优先落实，全力打通人民群众出行“最后一公里”，让水泥路修到百姓家门口，修到田间地头产业园里，</w:t>
      </w:r>
      <w:r>
        <w:rPr>
          <w:rFonts w:hint="eastAsia" w:ascii="Times New Roman" w:hAnsi="Times New Roman" w:eastAsia="仿宋_GB2312" w:cs="Times New Roman"/>
          <w:kern w:val="2"/>
          <w:sz w:val="32"/>
          <w:szCs w:val="32"/>
          <w:lang w:val="en-US" w:eastAsia="zh-CN" w:bidi="ar-SA"/>
        </w:rPr>
        <w:t>促进了贫困地区的资源开发、利用，惠及40余万贫困地区群众，吸纳建档立档贫困户参与农村公路养护，增加了贫困户家庭的经济收入。</w:t>
      </w:r>
    </w:p>
    <w:p w14:paraId="39635372">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4.助力乡村振兴。</w:t>
      </w:r>
      <w:r>
        <w:rPr>
          <w:rFonts w:hint="eastAsia" w:ascii="仿宋" w:hAnsi="仿宋" w:eastAsia="仿宋" w:cs="仿宋"/>
          <w:b w:val="0"/>
          <w:i w:val="0"/>
          <w:caps w:val="0"/>
          <w:spacing w:val="0"/>
          <w:w w:val="100"/>
          <w:kern w:val="0"/>
          <w:sz w:val="32"/>
          <w:szCs w:val="32"/>
          <w:lang w:val="en-US" w:eastAsia="zh-CN" w:bidi="ar-SA"/>
        </w:rPr>
        <w:t>邵阳市积极探索推行“通组公路+”特色产业、乡村旅游等高质量发展新格局，让交通条件与关联产业、要素深度融合，</w:t>
      </w:r>
      <w:r>
        <w:rPr>
          <w:rFonts w:hint="eastAsia" w:ascii="Times New Roman" w:hAnsi="Times New Roman" w:eastAsia="仿宋_GB2312" w:cs="Times New Roman"/>
          <w:kern w:val="2"/>
          <w:sz w:val="32"/>
          <w:szCs w:val="32"/>
          <w:lang w:val="en-US" w:eastAsia="zh-CN" w:bidi="ar-SA"/>
        </w:rPr>
        <w:t>有利于农村基础设施、生态环境改善，有利于农业产业发展。</w:t>
      </w:r>
    </w:p>
    <w:p w14:paraId="174A5086">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ascii="Times New Roman" w:hAnsi="Times New Roman" w:eastAsia="仿宋_GB2312" w:cs="Times New Roman"/>
          <w:b/>
          <w:bCs/>
          <w:kern w:val="2"/>
          <w:sz w:val="32"/>
          <w:szCs w:val="32"/>
          <w:lang w:val="en-US" w:eastAsia="zh-CN" w:bidi="ar-SA"/>
        </w:rPr>
        <w:t>5.保护生态环境。</w:t>
      </w:r>
      <w:r>
        <w:rPr>
          <w:rFonts w:hint="eastAsia" w:ascii="Times New Roman" w:hAnsi="Times New Roman" w:eastAsia="仿宋_GB2312" w:cs="Times New Roman"/>
          <w:kern w:val="2"/>
          <w:sz w:val="32"/>
          <w:szCs w:val="32"/>
          <w:lang w:val="en-US" w:eastAsia="zh-CN" w:bidi="ar-SA"/>
        </w:rPr>
        <w:t>项目建设较大的提升了农村公路的路容路貌，降低了噪音、废弃、粉尘等对周边生态环境的污染程度，对保持水土、保护生态起到了促进作用。</w:t>
      </w:r>
    </w:p>
    <w:p w14:paraId="472B44A5">
      <w:pPr>
        <w:pStyle w:val="4"/>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3" w:firstLineChars="200"/>
        <w:textAlignment w:val="auto"/>
        <w:rPr>
          <w:rFonts w:hint="eastAsia"/>
          <w:sz w:val="32"/>
          <w:szCs w:val="32"/>
          <w:lang w:eastAsia="zh-CN"/>
        </w:rPr>
      </w:pPr>
      <w:r>
        <w:rPr>
          <w:rFonts w:hint="eastAsia"/>
          <w:sz w:val="32"/>
          <w:szCs w:val="32"/>
          <w:lang w:val="en-US" w:eastAsia="zh-CN"/>
        </w:rPr>
        <w:t>（二）绩效评价结论</w:t>
      </w:r>
    </w:p>
    <w:p w14:paraId="50C3E6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right="0" w:righ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经现场调查和审核佐证材料，经评价组综合评定，邵阳市2018-2021年农村公路自然村通水泥路建设专项资金绩效评价得分为92.51分，评价等级为“优”（详见附件1：邵阳市2018-2021年农村公路自然村通水泥路建设专项资金绩效评价指标及评分表）。</w:t>
      </w:r>
    </w:p>
    <w:p w14:paraId="0D3B483F">
      <w:pPr>
        <w:pStyle w:val="5"/>
        <w:pageBreakBefore w:val="0"/>
        <w:kinsoku/>
        <w:wordWrap/>
        <w:overflowPunct/>
        <w:topLinePunct w:val="0"/>
        <w:autoSpaceDE/>
        <w:autoSpaceDN/>
        <w:bidi w:val="0"/>
        <w:adjustRightInd/>
        <w:snapToGrid/>
        <w:spacing w:before="0" w:line="560" w:lineRule="exact"/>
        <w:ind w:left="0" w:firstLine="640" w:firstLineChars="200"/>
        <w:outlineLvl w:val="0"/>
        <w:rPr>
          <w:rFonts w:hint="default" w:ascii="Times New Roman" w:hAnsi="Times New Roman" w:eastAsia="黑体" w:cs="Times New Roman"/>
          <w:b w:val="0"/>
          <w:bCs w:val="0"/>
          <w:kern w:val="44"/>
          <w:sz w:val="32"/>
          <w:szCs w:val="44"/>
          <w:lang w:val="en-US" w:eastAsia="zh-CN" w:bidi="ar-SA"/>
        </w:rPr>
      </w:pPr>
      <w:r>
        <w:rPr>
          <w:rFonts w:hint="eastAsia" w:ascii="Times New Roman" w:hAnsi="Times New Roman" w:eastAsia="黑体" w:cs="Times New Roman"/>
          <w:b w:val="0"/>
          <w:bCs w:val="0"/>
          <w:kern w:val="44"/>
          <w:sz w:val="32"/>
          <w:szCs w:val="44"/>
          <w:lang w:val="en-US" w:eastAsia="zh-CN" w:bidi="ar-SA"/>
        </w:rPr>
        <w:t>四、预算绩效评价指标分析</w:t>
      </w:r>
    </w:p>
    <w:p w14:paraId="674EC0CC">
      <w:pPr>
        <w:pStyle w:val="4"/>
        <w:pageBreakBefore w:val="0"/>
        <w:widowControl w:val="0"/>
        <w:numPr>
          <w:ilvl w:val="0"/>
          <w:numId w:val="0"/>
        </w:numPr>
        <w:kinsoku/>
        <w:wordWrap/>
        <w:overflowPunct/>
        <w:topLinePunct w:val="0"/>
        <w:autoSpaceDE/>
        <w:autoSpaceDN/>
        <w:bidi w:val="0"/>
        <w:adjustRightInd/>
        <w:snapToGrid/>
        <w:spacing w:beforeLines="0" w:afterLines="0" w:line="560" w:lineRule="exact"/>
        <w:ind w:left="0" w:firstLine="643" w:firstLineChars="200"/>
        <w:textAlignment w:val="auto"/>
        <w:rPr>
          <w:rFonts w:hint="eastAsia"/>
          <w:sz w:val="32"/>
          <w:szCs w:val="32"/>
          <w:lang w:eastAsia="zh-CN"/>
        </w:rPr>
      </w:pPr>
      <w:bookmarkStart w:id="48" w:name="_Toc31496"/>
      <w:bookmarkStart w:id="49" w:name="_Toc17774"/>
      <w:bookmarkStart w:id="50" w:name="_Toc30060"/>
      <w:bookmarkStart w:id="51" w:name="_Toc24259"/>
      <w:bookmarkStart w:id="52" w:name="_Toc19070"/>
      <w:bookmarkStart w:id="53" w:name="_Toc21717"/>
      <w:bookmarkStart w:id="54" w:name="_Toc30574"/>
      <w:bookmarkStart w:id="55" w:name="_Toc14685"/>
      <w:bookmarkStart w:id="56" w:name="_Toc31413"/>
      <w:bookmarkStart w:id="57" w:name="_Toc18640"/>
      <w:bookmarkStart w:id="58" w:name="_Toc14155"/>
      <w:bookmarkStart w:id="59" w:name="_Toc24807"/>
      <w:bookmarkStart w:id="60" w:name="_Toc20910"/>
      <w:bookmarkStart w:id="61" w:name="_Toc17912"/>
      <w:bookmarkStart w:id="62" w:name="_Toc30335"/>
      <w:bookmarkStart w:id="63" w:name="_Toc21827"/>
      <w:bookmarkStart w:id="64" w:name="_Toc31318"/>
      <w:bookmarkStart w:id="65" w:name="_Toc19744"/>
      <w:bookmarkStart w:id="66" w:name="_Toc9400"/>
      <w:bookmarkStart w:id="67" w:name="_Toc1811"/>
      <w:bookmarkStart w:id="68" w:name="_Toc24768"/>
      <w:bookmarkStart w:id="69" w:name="_Toc3629"/>
      <w:bookmarkStart w:id="70" w:name="_Toc20648"/>
      <w:bookmarkStart w:id="71" w:name="_Toc1326"/>
      <w:bookmarkStart w:id="72" w:name="_Toc29467"/>
      <w:bookmarkStart w:id="73" w:name="_Toc18531"/>
      <w:bookmarkStart w:id="74" w:name="_Toc29814"/>
      <w:bookmarkStart w:id="75" w:name="_Toc14103"/>
      <w:bookmarkStart w:id="76" w:name="_Toc6187"/>
      <w:bookmarkStart w:id="77" w:name="_Toc5750"/>
      <w:bookmarkStart w:id="78" w:name="_Toc23684"/>
      <w:r>
        <w:rPr>
          <w:rFonts w:hint="eastAsia"/>
          <w:sz w:val="32"/>
          <w:szCs w:val="32"/>
          <w:lang w:eastAsia="zh-CN"/>
        </w:rPr>
        <w:t>（</w:t>
      </w:r>
      <w:r>
        <w:rPr>
          <w:rFonts w:hint="eastAsia"/>
          <w:sz w:val="32"/>
          <w:szCs w:val="32"/>
          <w:lang w:val="en-US" w:eastAsia="zh-CN"/>
        </w:rPr>
        <w:t>一</w:t>
      </w:r>
      <w:r>
        <w:rPr>
          <w:rFonts w:hint="eastAsia"/>
          <w:sz w:val="32"/>
          <w:szCs w:val="32"/>
          <w:lang w:eastAsia="zh-CN"/>
        </w:rPr>
        <w:t>）</w:t>
      </w:r>
      <w:r>
        <w:rPr>
          <w:rFonts w:hint="eastAsia"/>
          <w:sz w:val="32"/>
          <w:szCs w:val="32"/>
        </w:rPr>
        <w:t>项目</w:t>
      </w:r>
      <w:r>
        <w:rPr>
          <w:rFonts w:hint="eastAsia"/>
          <w:sz w:val="32"/>
          <w:szCs w:val="32"/>
          <w:lang w:val="en-US" w:eastAsia="zh-CN"/>
        </w:rPr>
        <w:t>支出</w:t>
      </w:r>
      <w:r>
        <w:rPr>
          <w:rFonts w:hint="eastAsia"/>
          <w:sz w:val="32"/>
          <w:szCs w:val="32"/>
        </w:rPr>
        <w:t>决策</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hint="eastAsia"/>
          <w:sz w:val="32"/>
          <w:szCs w:val="32"/>
          <w:lang w:val="en-US" w:eastAsia="zh-CN"/>
        </w:rPr>
        <w:t>情况</w:t>
      </w:r>
    </w:p>
    <w:p w14:paraId="40CA91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lang w:eastAsia="zh-CN"/>
        </w:rPr>
      </w:pPr>
      <w:r>
        <w:rPr>
          <w:rFonts w:hint="eastAsia" w:eastAsia="仿宋_GB2312"/>
          <w:sz w:val="32"/>
          <w:szCs w:val="32"/>
          <w:lang w:val="en-US" w:eastAsia="zh-CN"/>
        </w:rPr>
        <w:t>项目支出决策包括项目立项、绩效目标和资金投入。该项满分为</w:t>
      </w:r>
      <w:r>
        <w:rPr>
          <w:rFonts w:hint="eastAsia" w:ascii="Times New Roman" w:hAnsi="Times New Roman" w:eastAsia="仿宋_GB2312" w:cs="Times New Roman"/>
          <w:kern w:val="2"/>
          <w:sz w:val="32"/>
          <w:szCs w:val="32"/>
          <w:lang w:val="en-US" w:eastAsia="zh-CN" w:bidi="ar-SA"/>
        </w:rPr>
        <w:t>13分，扣3分，得分10分</w:t>
      </w:r>
      <w:r>
        <w:rPr>
          <w:rFonts w:hint="eastAsia" w:eastAsia="仿宋_GB2312"/>
          <w:sz w:val="32"/>
          <w:szCs w:val="32"/>
          <w:lang w:val="en-US" w:eastAsia="zh-CN"/>
        </w:rPr>
        <w:t>，具体情况如下：</w:t>
      </w:r>
    </w:p>
    <w:p w14:paraId="5509E037">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79" w:name="_Toc28867"/>
      <w:bookmarkStart w:id="80" w:name="_Toc30991"/>
      <w:bookmarkStart w:id="81" w:name="_Toc9381"/>
      <w:bookmarkStart w:id="82" w:name="_Toc823"/>
      <w:bookmarkStart w:id="83" w:name="_Toc10423"/>
      <w:bookmarkStart w:id="84" w:name="_Toc1882"/>
      <w:r>
        <w:rPr>
          <w:rFonts w:hint="eastAsia" w:ascii="Times New Roman" w:hAnsi="Times New Roman" w:eastAsia="仿宋_GB2312" w:cs="Times New Roman"/>
          <w:b/>
          <w:bCs/>
          <w:sz w:val="32"/>
          <w:szCs w:val="32"/>
          <w:lang w:val="en-US" w:eastAsia="zh-CN"/>
        </w:rPr>
        <w:t>1.项目立项</w:t>
      </w:r>
      <w:bookmarkEnd w:id="79"/>
      <w:bookmarkEnd w:id="80"/>
      <w:bookmarkEnd w:id="81"/>
      <w:bookmarkEnd w:id="82"/>
      <w:bookmarkEnd w:id="83"/>
      <w:bookmarkEnd w:id="84"/>
    </w:p>
    <w:p w14:paraId="155A02A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eastAsia="仿宋_GB2312" w:asciiTheme="minorHAnsi" w:hAnsiTheme="minorHAnsi" w:cstheme="minorBidi"/>
          <w:kern w:val="2"/>
          <w:sz w:val="32"/>
          <w:szCs w:val="32"/>
          <w:lang w:val="en-US" w:eastAsia="zh-CN" w:bidi="ar-SA"/>
        </w:rPr>
      </w:pPr>
      <w:r>
        <w:rPr>
          <w:rFonts w:hint="eastAsia" w:eastAsia="仿宋_GB2312" w:asciiTheme="minorHAnsi" w:hAnsiTheme="minorHAnsi" w:cstheme="minorBidi"/>
          <w:kern w:val="2"/>
          <w:sz w:val="32"/>
          <w:szCs w:val="32"/>
          <w:lang w:val="en-US" w:eastAsia="zh-CN" w:bidi="ar-SA"/>
        </w:rPr>
        <w:t>邵阳市政府根据省政府对全省自然村通水泥（沥青）路建设的相关要求及总体规划，制定了市级项目建设实施方案，明确了项目建设具体内容。</w:t>
      </w:r>
      <w:r>
        <w:rPr>
          <w:rFonts w:hint="eastAsia" w:eastAsia="仿宋_GB2312"/>
          <w:sz w:val="32"/>
          <w:szCs w:val="32"/>
          <w:lang w:val="en-US" w:eastAsia="zh-CN"/>
        </w:rPr>
        <w:t>项目立项符合国家法律法规、国民经济发展规划和相关政策；符合行业发展规划和政策要求；属于公共财政支持范围；项目按照规定的程序申请设立；审批文件、材料符合相关要求。</w:t>
      </w:r>
    </w:p>
    <w:p w14:paraId="0237952F">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85" w:name="_Toc2031"/>
      <w:bookmarkStart w:id="86" w:name="_Toc11068"/>
      <w:bookmarkStart w:id="87" w:name="_Toc7042"/>
      <w:bookmarkStart w:id="88" w:name="_Toc15690"/>
      <w:bookmarkStart w:id="89" w:name="_Toc5756"/>
      <w:r>
        <w:rPr>
          <w:rFonts w:hint="eastAsia" w:ascii="Times New Roman" w:hAnsi="Times New Roman" w:eastAsia="仿宋_GB2312" w:cs="Times New Roman"/>
          <w:b/>
          <w:bCs/>
          <w:sz w:val="32"/>
          <w:szCs w:val="32"/>
          <w:lang w:val="en-US" w:eastAsia="zh-CN"/>
        </w:rPr>
        <w:t>2.绩效目标</w:t>
      </w:r>
      <w:bookmarkEnd w:id="85"/>
      <w:bookmarkEnd w:id="86"/>
      <w:bookmarkEnd w:id="87"/>
      <w:bookmarkEnd w:id="88"/>
      <w:bookmarkEnd w:id="89"/>
    </w:p>
    <w:p w14:paraId="79F18A9D">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default" w:ascii="Times New Roman" w:hAnsi="Times New Roman" w:eastAsia="仿宋_GB2312" w:cs="Times New Roman"/>
          <w:kern w:val="2"/>
          <w:sz w:val="32"/>
          <w:szCs w:val="32"/>
          <w:lang w:val="en-US" w:eastAsia="zh-CN" w:bidi="ar-SA"/>
        </w:rPr>
      </w:pPr>
      <w:bookmarkStart w:id="90" w:name="_Toc16414"/>
      <w:bookmarkStart w:id="91" w:name="_Toc16637"/>
      <w:bookmarkStart w:id="92" w:name="_Toc26100"/>
      <w:bookmarkStart w:id="93" w:name="_Toc10642"/>
      <w:bookmarkStart w:id="94" w:name="_Toc24098"/>
      <w:bookmarkStart w:id="95" w:name="_Toc17872"/>
      <w:bookmarkStart w:id="96" w:name="_Toc2341"/>
      <w:r>
        <w:rPr>
          <w:rFonts w:hint="eastAsia" w:ascii="Times New Roman" w:hAnsi="Times New Roman" w:eastAsia="仿宋_GB2312" w:cs="Times New Roman"/>
          <w:kern w:val="2"/>
          <w:sz w:val="32"/>
          <w:szCs w:val="32"/>
          <w:lang w:val="en-US" w:eastAsia="zh-CN" w:bidi="ar-SA"/>
        </w:rPr>
        <w:t>该项目未编报整体绩效目标和年度绩效目标，也未设置清晰、可衡量的绩效目标指标值，扣3分。</w:t>
      </w:r>
      <w:bookmarkEnd w:id="90"/>
    </w:p>
    <w:p w14:paraId="3032CBD4">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3.资金投入</w:t>
      </w:r>
      <w:bookmarkEnd w:id="91"/>
      <w:bookmarkEnd w:id="92"/>
      <w:bookmarkEnd w:id="93"/>
      <w:bookmarkEnd w:id="94"/>
      <w:bookmarkEnd w:id="95"/>
      <w:bookmarkEnd w:id="96"/>
    </w:p>
    <w:p w14:paraId="3B457BF7">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default" w:ascii="Times New Roman" w:hAnsi="Times New Roman" w:eastAsia="仿宋_GB2312" w:cs="Times New Roman"/>
          <w:b/>
          <w:bCs/>
          <w:sz w:val="32"/>
          <w:szCs w:val="32"/>
          <w:lang w:val="en-US" w:eastAsia="zh-CN"/>
        </w:rPr>
      </w:pPr>
      <w:bookmarkStart w:id="97" w:name="_Toc1556"/>
      <w:r>
        <w:rPr>
          <w:rFonts w:hint="eastAsia" w:ascii="Times New Roman" w:hAnsi="Times New Roman" w:eastAsia="仿宋_GB2312" w:cs="Times New Roman"/>
          <w:kern w:val="2"/>
          <w:sz w:val="32"/>
          <w:szCs w:val="32"/>
          <w:lang w:val="en-US" w:eastAsia="zh-CN" w:bidi="ar-SA"/>
        </w:rPr>
        <w:t>市级奖补资金按</w:t>
      </w:r>
      <w:r>
        <w:rPr>
          <w:rFonts w:hint="default" w:ascii="Times New Roman" w:hAnsi="Times New Roman" w:eastAsia="仿宋_GB2312" w:cs="Times New Roman"/>
          <w:kern w:val="2"/>
          <w:sz w:val="32"/>
          <w:szCs w:val="32"/>
          <w:lang w:val="en-US" w:eastAsia="zh-CN" w:bidi="ar-SA"/>
        </w:rPr>
        <w:t>贫困村项目1.5万元/公里，非贫困村项目1万元/公里</w:t>
      </w:r>
      <w:r>
        <w:rPr>
          <w:rFonts w:hint="eastAsia" w:ascii="Times New Roman" w:hAnsi="Times New Roman" w:eastAsia="仿宋_GB2312" w:cs="Times New Roman"/>
          <w:kern w:val="2"/>
          <w:sz w:val="32"/>
          <w:szCs w:val="32"/>
          <w:lang w:val="en-US" w:eastAsia="zh-CN" w:bidi="ar-SA"/>
        </w:rPr>
        <w:t>为标准下达，预算内容与项目内容相匹配，资金分配依据充分，分配额度合理。</w:t>
      </w:r>
      <w:bookmarkEnd w:id="97"/>
    </w:p>
    <w:p w14:paraId="1EDF881F">
      <w:pPr>
        <w:pStyle w:val="4"/>
        <w:pageBreakBefore w:val="0"/>
        <w:widowControl w:val="0"/>
        <w:numPr>
          <w:ilvl w:val="0"/>
          <w:numId w:val="2"/>
        </w:numPr>
        <w:kinsoku/>
        <w:wordWrap/>
        <w:overflowPunct/>
        <w:topLinePunct w:val="0"/>
        <w:autoSpaceDE/>
        <w:autoSpaceDN/>
        <w:bidi w:val="0"/>
        <w:adjustRightInd/>
        <w:snapToGrid/>
        <w:spacing w:beforeLines="0" w:afterLines="0" w:line="560" w:lineRule="exact"/>
        <w:ind w:left="0" w:leftChars="0" w:firstLine="643" w:firstLineChars="200"/>
        <w:textAlignment w:val="auto"/>
        <w:rPr>
          <w:rFonts w:hint="eastAsia"/>
          <w:sz w:val="32"/>
          <w:szCs w:val="32"/>
          <w:lang w:val="en-US" w:eastAsia="zh-CN"/>
        </w:rPr>
      </w:pPr>
      <w:bookmarkStart w:id="98" w:name="_Toc30056"/>
      <w:bookmarkStart w:id="99" w:name="_Toc8512"/>
      <w:bookmarkStart w:id="100" w:name="_Toc14127"/>
      <w:bookmarkStart w:id="101" w:name="_Toc17604"/>
      <w:bookmarkStart w:id="102" w:name="_Toc20051"/>
      <w:bookmarkStart w:id="103" w:name="_Toc31717"/>
      <w:r>
        <w:rPr>
          <w:rFonts w:hint="eastAsia"/>
          <w:sz w:val="32"/>
          <w:szCs w:val="32"/>
          <w:lang w:val="en-US" w:eastAsia="zh-CN"/>
        </w:rPr>
        <w:t>项目</w:t>
      </w:r>
      <w:bookmarkEnd w:id="98"/>
      <w:bookmarkEnd w:id="99"/>
      <w:bookmarkEnd w:id="100"/>
      <w:bookmarkEnd w:id="101"/>
      <w:bookmarkEnd w:id="102"/>
      <w:bookmarkEnd w:id="103"/>
      <w:r>
        <w:rPr>
          <w:rFonts w:hint="eastAsia"/>
          <w:sz w:val="32"/>
          <w:szCs w:val="32"/>
          <w:lang w:val="en-US" w:eastAsia="zh-CN"/>
        </w:rPr>
        <w:t>执行过程情况</w:t>
      </w:r>
    </w:p>
    <w:p w14:paraId="0E383F0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lang w:val="en-US" w:eastAsia="zh-CN"/>
        </w:rPr>
      </w:pPr>
      <w:r>
        <w:rPr>
          <w:rFonts w:hint="eastAsia" w:eastAsia="仿宋_GB2312"/>
          <w:sz w:val="32"/>
          <w:szCs w:val="32"/>
          <w:lang w:val="en-US" w:eastAsia="zh-CN"/>
        </w:rPr>
        <w:t>项目执行过程包括资金管理和组织实施。该</w:t>
      </w:r>
      <w:r>
        <w:rPr>
          <w:rFonts w:hint="eastAsia" w:ascii="Times New Roman" w:hAnsi="Times New Roman" w:eastAsia="仿宋_GB2312" w:cs="Times New Roman"/>
          <w:kern w:val="2"/>
          <w:sz w:val="32"/>
          <w:szCs w:val="32"/>
          <w:lang w:val="en-US" w:eastAsia="zh-CN" w:bidi="ar-SA"/>
        </w:rPr>
        <w:t>项满分为23分，扣3分，得分20分。</w:t>
      </w:r>
    </w:p>
    <w:p w14:paraId="0571A3BE">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104" w:name="_Toc20006"/>
      <w:bookmarkStart w:id="105" w:name="_Toc21792"/>
      <w:bookmarkStart w:id="106" w:name="_Toc6759"/>
      <w:bookmarkStart w:id="107" w:name="_Toc28259"/>
      <w:bookmarkStart w:id="108" w:name="_Toc15954"/>
      <w:bookmarkStart w:id="109" w:name="_Toc30661"/>
      <w:r>
        <w:rPr>
          <w:rFonts w:hint="eastAsia" w:ascii="Times New Roman" w:hAnsi="Times New Roman" w:eastAsia="仿宋_GB2312" w:cs="Times New Roman"/>
          <w:b/>
          <w:bCs/>
          <w:sz w:val="32"/>
          <w:szCs w:val="32"/>
          <w:lang w:val="en-US" w:eastAsia="zh-CN"/>
        </w:rPr>
        <w:t>1.资金管理</w:t>
      </w:r>
      <w:bookmarkEnd w:id="104"/>
      <w:bookmarkEnd w:id="105"/>
      <w:bookmarkEnd w:id="106"/>
      <w:bookmarkEnd w:id="107"/>
      <w:bookmarkEnd w:id="108"/>
      <w:bookmarkEnd w:id="109"/>
    </w:p>
    <w:p w14:paraId="720CBB34">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default" w:ascii="Times New Roman" w:hAnsi="Times New Roman" w:eastAsia="仿宋_GB2312" w:cs="Times New Roman"/>
          <w:kern w:val="2"/>
          <w:sz w:val="32"/>
          <w:szCs w:val="32"/>
          <w:lang w:val="en-US" w:eastAsia="zh-CN" w:bidi="ar-SA"/>
        </w:rPr>
      </w:pPr>
      <w:bookmarkStart w:id="110" w:name="_Toc13131"/>
      <w:r>
        <w:rPr>
          <w:rFonts w:hint="eastAsia" w:ascii="Times New Roman" w:hAnsi="Times New Roman" w:eastAsia="仿宋_GB2312" w:cs="Times New Roman"/>
          <w:kern w:val="2"/>
          <w:sz w:val="32"/>
          <w:szCs w:val="32"/>
          <w:lang w:val="en-US" w:eastAsia="zh-CN" w:bidi="ar-SA"/>
        </w:rPr>
        <w:t>2018年至2021年，项目专项资金到位率为100%，预算执行率为96.34%，其中市级配套资金的预算执行率为81.77%，扣1.5分。项目支出资金的拨付按照财务管理制度执行审批程序和手续，项目支出资金大部分符合项目预算批复的用途或合同规定的用途和使用范围，未发现截留、挤占、挪用、虚列支出等情况。故资金管理扣1.5分。</w:t>
      </w:r>
      <w:bookmarkEnd w:id="110"/>
    </w:p>
    <w:p w14:paraId="3F6E8854">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111" w:name="_Toc4827"/>
      <w:bookmarkStart w:id="112" w:name="_Toc6450"/>
      <w:bookmarkStart w:id="113" w:name="_Toc21879"/>
      <w:bookmarkStart w:id="114" w:name="_Toc17146"/>
      <w:bookmarkStart w:id="115" w:name="_Toc1102"/>
      <w:bookmarkStart w:id="116" w:name="_Toc3295"/>
      <w:r>
        <w:rPr>
          <w:rFonts w:hint="eastAsia" w:ascii="Times New Roman" w:hAnsi="Times New Roman" w:eastAsia="仿宋_GB2312" w:cs="Times New Roman"/>
          <w:b/>
          <w:bCs/>
          <w:sz w:val="32"/>
          <w:szCs w:val="32"/>
          <w:lang w:val="en-US" w:eastAsia="zh-CN"/>
        </w:rPr>
        <w:t>2.组织实施</w:t>
      </w:r>
      <w:bookmarkEnd w:id="111"/>
      <w:bookmarkEnd w:id="112"/>
      <w:bookmarkEnd w:id="113"/>
      <w:bookmarkEnd w:id="114"/>
      <w:bookmarkEnd w:id="115"/>
      <w:bookmarkEnd w:id="116"/>
    </w:p>
    <w:p w14:paraId="6B0948F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kern w:val="2"/>
          <w:sz w:val="32"/>
          <w:szCs w:val="32"/>
          <w:lang w:val="en-US" w:eastAsia="zh-CN" w:bidi="ar-SA"/>
        </w:rPr>
        <w:t>《实施方案》（邵市政办函〔2018〕10号）及《实施细则》（市村通路指〔2018〕2号）对项目的工程建设和资金管理等方面做了明确的要求；《考核和管理办法》（市村通路指〔2018〕3号）明确了工程考核办法、专项资金管理办法和质量安全监督工作目标考核办法。项目的实施均遵照上述制度和文件的要求执行，</w:t>
      </w:r>
      <w:r>
        <w:rPr>
          <w:rFonts w:hint="eastAsia" w:eastAsia="仿宋_GB2312"/>
          <w:sz w:val="32"/>
          <w:szCs w:val="32"/>
          <w:lang w:val="en-US" w:eastAsia="zh-CN"/>
        </w:rPr>
        <w:t>项目实施的人员条件、场地设备、信息支撑等均落实到位，相关档案资料由对应负责人员保管齐全，并认真展开了项目建设工作总结。项目主管单位未及时将专项资金所产生的银行</w:t>
      </w:r>
      <w:r>
        <w:rPr>
          <w:rFonts w:hint="eastAsia" w:ascii="Times New Roman" w:hAnsi="Times New Roman" w:eastAsia="仿宋_GB2312" w:cs="Times New Roman"/>
          <w:kern w:val="2"/>
          <w:sz w:val="32"/>
          <w:szCs w:val="32"/>
          <w:lang w:val="en-US" w:eastAsia="zh-CN" w:bidi="ar-SA"/>
        </w:rPr>
        <w:t>利息收入上缴国库，而是直接作为项目建设经费拨付使用，扣1.5分。</w:t>
      </w:r>
    </w:p>
    <w:p w14:paraId="5E628C44">
      <w:pPr>
        <w:pStyle w:val="4"/>
        <w:pageBreakBefore w:val="0"/>
        <w:widowControl w:val="0"/>
        <w:numPr>
          <w:ilvl w:val="0"/>
          <w:numId w:val="2"/>
        </w:numPr>
        <w:kinsoku/>
        <w:wordWrap/>
        <w:overflowPunct/>
        <w:topLinePunct w:val="0"/>
        <w:autoSpaceDE/>
        <w:autoSpaceDN/>
        <w:bidi w:val="0"/>
        <w:adjustRightInd/>
        <w:snapToGrid/>
        <w:spacing w:beforeLines="0" w:afterLines="0" w:line="560" w:lineRule="exact"/>
        <w:ind w:left="0" w:leftChars="0" w:firstLine="643" w:firstLineChars="200"/>
        <w:textAlignment w:val="auto"/>
        <w:rPr>
          <w:rFonts w:hint="eastAsia"/>
          <w:sz w:val="32"/>
          <w:szCs w:val="32"/>
          <w:lang w:eastAsia="zh-CN"/>
        </w:rPr>
      </w:pPr>
      <w:bookmarkStart w:id="117" w:name="_Toc31382"/>
      <w:bookmarkStart w:id="118" w:name="_Toc22743"/>
      <w:bookmarkStart w:id="119" w:name="_Toc30895"/>
      <w:bookmarkStart w:id="120" w:name="_Toc16377"/>
      <w:bookmarkStart w:id="121" w:name="_Toc20405"/>
      <w:bookmarkStart w:id="122" w:name="_Toc15754"/>
      <w:bookmarkStart w:id="123" w:name="_Toc21750"/>
      <w:bookmarkStart w:id="124" w:name="_Toc2462"/>
      <w:bookmarkStart w:id="125" w:name="_Toc24477"/>
      <w:bookmarkStart w:id="126" w:name="_Toc22442"/>
      <w:bookmarkStart w:id="127" w:name="_Toc28094"/>
      <w:bookmarkStart w:id="128" w:name="_Toc19443"/>
      <w:bookmarkStart w:id="129" w:name="_Toc10436"/>
      <w:bookmarkStart w:id="130" w:name="_Toc22635"/>
      <w:bookmarkStart w:id="131" w:name="_Toc15248"/>
      <w:bookmarkStart w:id="132" w:name="_Toc9415"/>
      <w:bookmarkStart w:id="133" w:name="_Toc26276"/>
      <w:bookmarkStart w:id="134" w:name="_Toc14916"/>
      <w:bookmarkStart w:id="135" w:name="_Toc678"/>
      <w:bookmarkStart w:id="136" w:name="_Toc16117"/>
      <w:bookmarkStart w:id="137" w:name="_Toc15186"/>
      <w:bookmarkStart w:id="138" w:name="_Toc6435"/>
      <w:bookmarkStart w:id="139" w:name="_Toc18571"/>
      <w:bookmarkStart w:id="140" w:name="_Toc23222"/>
      <w:bookmarkStart w:id="141" w:name="_Toc13043"/>
      <w:bookmarkStart w:id="142" w:name="_Toc6719"/>
      <w:bookmarkStart w:id="143" w:name="_Toc463"/>
      <w:bookmarkStart w:id="144" w:name="_Toc8591"/>
      <w:bookmarkStart w:id="145" w:name="_Toc12751"/>
      <w:r>
        <w:rPr>
          <w:rFonts w:hint="eastAsia"/>
          <w:sz w:val="32"/>
          <w:szCs w:val="32"/>
        </w:rPr>
        <w:t>项目</w:t>
      </w:r>
      <w:r>
        <w:rPr>
          <w:rFonts w:hint="eastAsia"/>
          <w:sz w:val="32"/>
          <w:szCs w:val="32"/>
          <w:lang w:val="en-US" w:eastAsia="zh-CN"/>
        </w:rPr>
        <w:t>支出</w:t>
      </w:r>
      <w:r>
        <w:rPr>
          <w:rFonts w:hint="eastAsia"/>
          <w:sz w:val="32"/>
          <w:szCs w:val="32"/>
          <w:lang w:eastAsia="zh-CN"/>
        </w:rPr>
        <w:t>产出</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rFonts w:hint="eastAsia"/>
          <w:sz w:val="32"/>
          <w:szCs w:val="32"/>
          <w:lang w:val="en-US" w:eastAsia="zh-CN"/>
        </w:rPr>
        <w:t>情况</w:t>
      </w:r>
    </w:p>
    <w:p w14:paraId="129C964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eastAsia="仿宋_GB2312"/>
          <w:sz w:val="32"/>
          <w:szCs w:val="32"/>
          <w:lang w:val="en-US" w:eastAsia="zh-CN"/>
        </w:rPr>
        <w:t>项</w:t>
      </w:r>
      <w:r>
        <w:rPr>
          <w:rFonts w:hint="eastAsia" w:ascii="Times New Roman" w:hAnsi="Times New Roman" w:eastAsia="仿宋_GB2312" w:cs="Times New Roman"/>
          <w:kern w:val="2"/>
          <w:sz w:val="32"/>
          <w:szCs w:val="32"/>
          <w:lang w:val="en-US" w:eastAsia="zh-CN" w:bidi="ar-SA"/>
        </w:rPr>
        <w:t>目支出产出包括产出数量、产出质量、产出时效和产出成本。该项满分为31分，得分31分。</w:t>
      </w:r>
    </w:p>
    <w:p w14:paraId="7494F2EB">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146" w:name="_Toc916"/>
      <w:bookmarkStart w:id="147" w:name="_Toc9754"/>
      <w:bookmarkStart w:id="148" w:name="_Toc23374"/>
      <w:bookmarkStart w:id="149" w:name="_Toc23299"/>
      <w:bookmarkStart w:id="150" w:name="_Toc18365"/>
      <w:bookmarkStart w:id="151" w:name="_Toc22409"/>
      <w:r>
        <w:rPr>
          <w:rFonts w:hint="eastAsia" w:ascii="Times New Roman" w:hAnsi="Times New Roman" w:eastAsia="仿宋_GB2312" w:cs="Times New Roman"/>
          <w:b/>
          <w:bCs/>
          <w:sz w:val="32"/>
          <w:szCs w:val="32"/>
          <w:lang w:val="en-US" w:eastAsia="zh-CN"/>
        </w:rPr>
        <w:t>1.产出数量</w:t>
      </w:r>
      <w:bookmarkEnd w:id="146"/>
      <w:bookmarkEnd w:id="147"/>
      <w:bookmarkEnd w:id="148"/>
      <w:bookmarkEnd w:id="149"/>
      <w:bookmarkEnd w:id="150"/>
      <w:bookmarkEnd w:id="151"/>
    </w:p>
    <w:p w14:paraId="2C81AA8D">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default" w:ascii="Times New Roman" w:hAnsi="Times New Roman" w:eastAsia="仿宋_GB2312" w:cs="Times New Roman"/>
          <w:kern w:val="2"/>
          <w:sz w:val="32"/>
          <w:szCs w:val="32"/>
          <w:highlight w:val="none"/>
          <w:lang w:val="en-US" w:eastAsia="zh-CN" w:bidi="ar-SA"/>
        </w:rPr>
      </w:pPr>
      <w:bookmarkStart w:id="152" w:name="_Toc17906"/>
      <w:bookmarkStart w:id="153" w:name="_Toc8326"/>
      <w:bookmarkStart w:id="154" w:name="_Toc11997"/>
      <w:bookmarkStart w:id="155" w:name="_Toc2213"/>
      <w:bookmarkStart w:id="156" w:name="_Toc14667"/>
      <w:bookmarkStart w:id="157" w:name="_Toc26226"/>
      <w:r>
        <w:rPr>
          <w:rFonts w:hint="eastAsia" w:ascii="Times New Roman" w:hAnsi="Times New Roman" w:eastAsia="仿宋_GB2312" w:cs="Times New Roman"/>
          <w:kern w:val="2"/>
          <w:sz w:val="32"/>
          <w:szCs w:val="32"/>
          <w:highlight w:val="none"/>
          <w:lang w:val="en-US" w:eastAsia="zh-CN" w:bidi="ar-SA"/>
        </w:rPr>
        <w:t>截至2020年底，共建成自然村通水泥路3726公里，共计4240个项目。产出数量达到工作任务目标数量。</w:t>
      </w:r>
      <w:bookmarkEnd w:id="152"/>
    </w:p>
    <w:p w14:paraId="007A5100">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2.产出质量</w:t>
      </w:r>
      <w:bookmarkEnd w:id="153"/>
      <w:bookmarkEnd w:id="154"/>
      <w:bookmarkEnd w:id="155"/>
      <w:bookmarkEnd w:id="156"/>
      <w:bookmarkEnd w:id="157"/>
    </w:p>
    <w:p w14:paraId="7EE146C1">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default" w:ascii="Times New Roman" w:hAnsi="Times New Roman" w:eastAsia="仿宋_GB2312" w:cs="Times New Roman"/>
          <w:kern w:val="2"/>
          <w:sz w:val="32"/>
          <w:szCs w:val="32"/>
          <w:lang w:val="en-US" w:eastAsia="zh-CN" w:bidi="ar-SA"/>
        </w:rPr>
      </w:pPr>
      <w:bookmarkStart w:id="158" w:name="_Toc32759"/>
      <w:r>
        <w:rPr>
          <w:rFonts w:hint="eastAsia" w:ascii="Times New Roman" w:hAnsi="Times New Roman" w:eastAsia="仿宋_GB2312" w:cs="Times New Roman"/>
          <w:kern w:val="2"/>
          <w:sz w:val="32"/>
          <w:szCs w:val="32"/>
          <w:lang w:val="en-US" w:eastAsia="zh-CN" w:bidi="ar-SA"/>
        </w:rPr>
        <w:t>项目建设主要技术指标符合相关规定，路基宽度不小于4.5米，路面宽度不小于3.5米，采用混凝土路面，非重载交通的路面面层厚度不小于18厘米、强度等级不低于C25，基层满足强度和平整度的要求，达到四级公路技术标准。</w:t>
      </w:r>
      <w:bookmarkEnd w:id="158"/>
    </w:p>
    <w:p w14:paraId="31210702">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159" w:name="_Toc32167"/>
      <w:bookmarkStart w:id="160" w:name="_Toc8471"/>
      <w:bookmarkStart w:id="161" w:name="_Toc32481"/>
      <w:bookmarkStart w:id="162" w:name="_Toc25513"/>
      <w:bookmarkStart w:id="163" w:name="_Toc28059"/>
      <w:r>
        <w:rPr>
          <w:rFonts w:hint="eastAsia" w:ascii="Times New Roman" w:hAnsi="Times New Roman" w:eastAsia="仿宋_GB2312" w:cs="Times New Roman"/>
          <w:b/>
          <w:bCs/>
          <w:sz w:val="32"/>
          <w:szCs w:val="32"/>
          <w:lang w:val="en-US" w:eastAsia="zh-CN"/>
        </w:rPr>
        <w:t>3.产出成本</w:t>
      </w:r>
      <w:bookmarkEnd w:id="159"/>
      <w:bookmarkEnd w:id="160"/>
      <w:bookmarkEnd w:id="161"/>
      <w:bookmarkEnd w:id="162"/>
      <w:bookmarkEnd w:id="163"/>
    </w:p>
    <w:p w14:paraId="1B7D12DE">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default" w:ascii="Times New Roman" w:hAnsi="Times New Roman" w:eastAsia="仿宋_GB2312" w:cs="Times New Roman"/>
          <w:kern w:val="2"/>
          <w:sz w:val="32"/>
          <w:szCs w:val="32"/>
          <w:lang w:val="en-US" w:eastAsia="zh-CN" w:bidi="ar-SA"/>
        </w:rPr>
      </w:pPr>
      <w:bookmarkStart w:id="164" w:name="_Toc9840"/>
      <w:r>
        <w:rPr>
          <w:rFonts w:hint="eastAsia" w:ascii="Times New Roman" w:hAnsi="Times New Roman" w:eastAsia="仿宋_GB2312" w:cs="Times New Roman"/>
          <w:kern w:val="2"/>
          <w:sz w:val="32"/>
          <w:szCs w:val="32"/>
          <w:lang w:val="en-US" w:eastAsia="zh-CN" w:bidi="ar-SA"/>
        </w:rPr>
        <w:t>专项资金拨付按照市级规定奖补标准，贫困村奖补标准为1.5万元/公里，其他奖补标准为1万元/公里。项目资金支出未超预算。</w:t>
      </w:r>
      <w:bookmarkEnd w:id="164"/>
    </w:p>
    <w:p w14:paraId="1E1BCEBE">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165" w:name="_Toc27014"/>
      <w:bookmarkStart w:id="166" w:name="_Toc23216"/>
      <w:bookmarkStart w:id="167" w:name="_Toc28128"/>
      <w:bookmarkStart w:id="168" w:name="_Toc18276"/>
      <w:bookmarkStart w:id="169" w:name="_Toc16162"/>
      <w:bookmarkStart w:id="170" w:name="_Toc29771"/>
      <w:r>
        <w:rPr>
          <w:rFonts w:hint="eastAsia" w:ascii="Times New Roman" w:hAnsi="Times New Roman" w:eastAsia="仿宋_GB2312" w:cs="Times New Roman"/>
          <w:b/>
          <w:bCs/>
          <w:sz w:val="32"/>
          <w:szCs w:val="32"/>
          <w:lang w:val="en-US" w:eastAsia="zh-CN"/>
        </w:rPr>
        <w:t>4.产出时效</w:t>
      </w:r>
      <w:bookmarkEnd w:id="165"/>
      <w:bookmarkEnd w:id="166"/>
      <w:bookmarkEnd w:id="167"/>
      <w:bookmarkEnd w:id="168"/>
      <w:bookmarkEnd w:id="169"/>
      <w:bookmarkEnd w:id="170"/>
    </w:p>
    <w:p w14:paraId="5F9081D7">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1"/>
        <w:rPr>
          <w:rFonts w:hint="default" w:ascii="Times New Roman" w:hAnsi="Times New Roman" w:eastAsia="仿宋_GB2312" w:cs="Times New Roman"/>
          <w:kern w:val="2"/>
          <w:sz w:val="32"/>
          <w:szCs w:val="32"/>
          <w:lang w:val="en-US" w:eastAsia="zh-CN" w:bidi="ar-SA"/>
        </w:rPr>
      </w:pPr>
      <w:bookmarkStart w:id="171" w:name="_Toc4614"/>
      <w:bookmarkStart w:id="172" w:name="_Toc15425"/>
      <w:r>
        <w:rPr>
          <w:rFonts w:hint="eastAsia" w:ascii="Times New Roman" w:hAnsi="Times New Roman" w:eastAsia="仿宋_GB2312" w:cs="Times New Roman"/>
          <w:kern w:val="2"/>
          <w:sz w:val="32"/>
          <w:szCs w:val="32"/>
          <w:lang w:val="en-US" w:eastAsia="zh-CN" w:bidi="ar-SA"/>
        </w:rPr>
        <w:t>项目建设在规定时间内完成施工，并按时组织验收。</w:t>
      </w:r>
      <w:bookmarkEnd w:id="171"/>
      <w:bookmarkEnd w:id="172"/>
    </w:p>
    <w:p w14:paraId="6E0864D6">
      <w:pPr>
        <w:pStyle w:val="4"/>
        <w:pageBreakBefore w:val="0"/>
        <w:widowControl w:val="0"/>
        <w:numPr>
          <w:ilvl w:val="0"/>
          <w:numId w:val="2"/>
        </w:numPr>
        <w:kinsoku/>
        <w:wordWrap/>
        <w:overflowPunct/>
        <w:topLinePunct w:val="0"/>
        <w:autoSpaceDE/>
        <w:autoSpaceDN/>
        <w:bidi w:val="0"/>
        <w:adjustRightInd/>
        <w:snapToGrid/>
        <w:spacing w:beforeLines="0" w:afterLines="0" w:line="560" w:lineRule="exact"/>
        <w:ind w:left="0" w:leftChars="0" w:firstLine="643" w:firstLineChars="200"/>
        <w:textAlignment w:val="auto"/>
        <w:rPr>
          <w:rFonts w:hint="eastAsia"/>
          <w:sz w:val="32"/>
          <w:szCs w:val="32"/>
          <w:lang w:val="en-US" w:eastAsia="zh-CN"/>
        </w:rPr>
      </w:pPr>
      <w:bookmarkStart w:id="173" w:name="_Toc32618"/>
      <w:bookmarkStart w:id="174" w:name="_Toc27668"/>
      <w:bookmarkStart w:id="175" w:name="_Toc7789"/>
      <w:bookmarkStart w:id="176" w:name="_Toc10858"/>
      <w:bookmarkStart w:id="177" w:name="_Toc26149"/>
      <w:bookmarkStart w:id="178" w:name="_Toc25494"/>
      <w:r>
        <w:rPr>
          <w:rFonts w:hint="eastAsia"/>
          <w:sz w:val="32"/>
          <w:szCs w:val="32"/>
          <w:lang w:val="en-US" w:eastAsia="zh-CN"/>
        </w:rPr>
        <w:t>项目支出效益</w:t>
      </w:r>
      <w:bookmarkEnd w:id="173"/>
      <w:bookmarkEnd w:id="174"/>
      <w:bookmarkEnd w:id="175"/>
      <w:bookmarkEnd w:id="176"/>
      <w:bookmarkEnd w:id="177"/>
      <w:bookmarkEnd w:id="178"/>
      <w:r>
        <w:rPr>
          <w:rFonts w:hint="eastAsia"/>
          <w:sz w:val="32"/>
          <w:szCs w:val="32"/>
          <w:lang w:val="en-US" w:eastAsia="zh-CN"/>
        </w:rPr>
        <w:t>情况</w:t>
      </w:r>
    </w:p>
    <w:p w14:paraId="16F8BF2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lang w:val="en-US" w:eastAsia="zh-CN"/>
        </w:rPr>
      </w:pPr>
      <w:r>
        <w:rPr>
          <w:rFonts w:hint="eastAsia" w:eastAsia="仿宋_GB2312"/>
          <w:sz w:val="32"/>
          <w:szCs w:val="32"/>
          <w:lang w:val="en-US" w:eastAsia="zh-CN"/>
        </w:rPr>
        <w:t>项目支出效益包括经济效益、社会效益、可持续影响和满意度。该项满分为</w:t>
      </w:r>
      <w:r>
        <w:rPr>
          <w:rFonts w:hint="eastAsia" w:ascii="Times New Roman" w:hAnsi="Times New Roman" w:eastAsia="仿宋_GB2312" w:cs="Times New Roman"/>
          <w:kern w:val="2"/>
          <w:sz w:val="32"/>
          <w:szCs w:val="32"/>
          <w:lang w:val="en-US" w:eastAsia="zh-CN" w:bidi="ar-SA"/>
        </w:rPr>
        <w:t>33分，扣1.49分，得分31.51</w:t>
      </w:r>
      <w:r>
        <w:rPr>
          <w:rFonts w:hint="eastAsia" w:eastAsia="仿宋_GB2312"/>
          <w:sz w:val="32"/>
          <w:szCs w:val="32"/>
          <w:lang w:val="en-US" w:eastAsia="zh-CN"/>
        </w:rPr>
        <w:t>分。</w:t>
      </w:r>
    </w:p>
    <w:p w14:paraId="71B4C9A8">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179" w:name="_Toc17066"/>
      <w:bookmarkStart w:id="180" w:name="_Toc25990"/>
      <w:bookmarkStart w:id="181" w:name="_Toc8633"/>
      <w:bookmarkStart w:id="182" w:name="_Toc16962"/>
      <w:bookmarkStart w:id="183" w:name="_Toc4787"/>
      <w:bookmarkStart w:id="184" w:name="_Toc30672"/>
      <w:r>
        <w:rPr>
          <w:rFonts w:hint="eastAsia" w:ascii="Times New Roman" w:hAnsi="Times New Roman" w:eastAsia="仿宋_GB2312" w:cs="Times New Roman"/>
          <w:b/>
          <w:bCs/>
          <w:sz w:val="32"/>
          <w:szCs w:val="32"/>
          <w:lang w:val="en-US" w:eastAsia="zh-CN"/>
        </w:rPr>
        <w:t>1.经济效益</w:t>
      </w:r>
      <w:bookmarkEnd w:id="179"/>
      <w:bookmarkEnd w:id="180"/>
      <w:bookmarkEnd w:id="181"/>
      <w:bookmarkEnd w:id="182"/>
      <w:bookmarkEnd w:id="183"/>
      <w:bookmarkEnd w:id="184"/>
    </w:p>
    <w:p w14:paraId="39F19F0C">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default" w:eastAsia="仿宋_GB2312" w:asciiTheme="minorHAnsi" w:hAnsiTheme="minorHAnsi" w:cstheme="minorBidi"/>
          <w:kern w:val="2"/>
          <w:sz w:val="32"/>
          <w:szCs w:val="32"/>
          <w:lang w:val="en-US" w:eastAsia="zh-CN" w:bidi="ar-SA"/>
        </w:rPr>
      </w:pPr>
      <w:bookmarkStart w:id="185" w:name="_Toc4045"/>
      <w:r>
        <w:rPr>
          <w:rFonts w:hint="eastAsia" w:eastAsia="仿宋_GB2312" w:asciiTheme="minorHAnsi" w:hAnsiTheme="minorHAnsi" w:cstheme="minorBidi"/>
          <w:kern w:val="2"/>
          <w:sz w:val="32"/>
          <w:szCs w:val="32"/>
          <w:lang w:val="en-US" w:eastAsia="zh-CN" w:bidi="ar-SA"/>
        </w:rPr>
        <w:t>项目建设惠</w:t>
      </w:r>
      <w:r>
        <w:rPr>
          <w:rFonts w:hint="eastAsia" w:ascii="Times New Roman" w:hAnsi="Times New Roman" w:eastAsia="仿宋_GB2312" w:cs="Times New Roman"/>
          <w:kern w:val="2"/>
          <w:sz w:val="32"/>
          <w:szCs w:val="32"/>
          <w:lang w:val="en-US" w:eastAsia="zh-CN" w:bidi="ar-SA"/>
        </w:rPr>
        <w:t>及500余万农村群众，直接促进贫困地区产业增收1.2亿元以上。</w:t>
      </w:r>
      <w:bookmarkEnd w:id="185"/>
    </w:p>
    <w:p w14:paraId="55D330BA">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186" w:name="_Toc16405"/>
      <w:bookmarkStart w:id="187" w:name="_Toc14942"/>
      <w:bookmarkStart w:id="188" w:name="_Toc17873"/>
      <w:bookmarkStart w:id="189" w:name="_Toc2370"/>
      <w:r>
        <w:rPr>
          <w:rFonts w:hint="eastAsia" w:ascii="Times New Roman" w:hAnsi="Times New Roman" w:eastAsia="仿宋_GB2312" w:cs="Times New Roman"/>
          <w:b/>
          <w:bCs/>
          <w:sz w:val="32"/>
          <w:szCs w:val="32"/>
          <w:lang w:val="en-US" w:eastAsia="zh-CN"/>
        </w:rPr>
        <w:t>2.社会效益</w:t>
      </w:r>
      <w:bookmarkEnd w:id="186"/>
      <w:bookmarkEnd w:id="187"/>
      <w:bookmarkEnd w:id="188"/>
      <w:bookmarkEnd w:id="189"/>
    </w:p>
    <w:p w14:paraId="1CF21FF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kern w:val="2"/>
          <w:sz w:val="32"/>
          <w:szCs w:val="32"/>
          <w:lang w:val="en-US" w:eastAsia="zh-CN" w:bidi="ar-SA"/>
        </w:rPr>
        <w:t>项目建设把水泥路修到了百姓家门口，修到田间地头产业园里，惠及40余万贫困地区群众，有利于促进贫困地区的资源开发、利用，有利于农村基础设施、生态环境改善，有利于农业产业发展。</w:t>
      </w:r>
    </w:p>
    <w:p w14:paraId="58B2EC09">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Times New Roman" w:hAnsi="Times New Roman" w:eastAsia="仿宋_GB2312" w:cs="Times New Roman"/>
          <w:b/>
          <w:bCs/>
          <w:sz w:val="32"/>
          <w:szCs w:val="32"/>
          <w:lang w:val="en-US" w:eastAsia="zh-CN"/>
        </w:rPr>
      </w:pPr>
      <w:bookmarkStart w:id="190" w:name="_Toc30839"/>
      <w:bookmarkStart w:id="191" w:name="_Toc28883"/>
      <w:bookmarkStart w:id="192" w:name="_Toc18917"/>
      <w:bookmarkStart w:id="193" w:name="_Toc8007"/>
      <w:bookmarkStart w:id="194" w:name="_Toc21388"/>
      <w:r>
        <w:rPr>
          <w:rFonts w:hint="eastAsia" w:ascii="Times New Roman" w:hAnsi="Times New Roman" w:eastAsia="仿宋_GB2312" w:cs="Times New Roman"/>
          <w:b/>
          <w:bCs/>
          <w:sz w:val="32"/>
          <w:szCs w:val="32"/>
          <w:lang w:val="en-US" w:eastAsia="zh-CN"/>
        </w:rPr>
        <w:t>3.可持续影响</w:t>
      </w:r>
      <w:bookmarkEnd w:id="190"/>
      <w:bookmarkEnd w:id="191"/>
      <w:bookmarkEnd w:id="192"/>
      <w:bookmarkEnd w:id="193"/>
      <w:bookmarkEnd w:id="194"/>
    </w:p>
    <w:p w14:paraId="20D8223D">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outlineLvl w:val="2"/>
        <w:rPr>
          <w:rFonts w:hint="default" w:ascii="Times New Roman" w:hAnsi="Times New Roman" w:eastAsia="仿宋_GB2312" w:cs="Times New Roman"/>
          <w:kern w:val="2"/>
          <w:sz w:val="32"/>
          <w:szCs w:val="32"/>
          <w:lang w:val="en-US" w:eastAsia="zh-CN" w:bidi="ar-SA"/>
        </w:rPr>
      </w:pPr>
      <w:bookmarkStart w:id="195" w:name="_Toc24523"/>
      <w:r>
        <w:rPr>
          <w:rFonts w:hint="eastAsia" w:ascii="Times New Roman" w:hAnsi="Times New Roman" w:eastAsia="仿宋_GB2312" w:cs="Times New Roman"/>
          <w:kern w:val="2"/>
          <w:sz w:val="32"/>
          <w:szCs w:val="32"/>
          <w:lang w:val="en-US" w:eastAsia="zh-CN" w:bidi="ar-SA"/>
        </w:rPr>
        <w:t>建成的农村公路符合抗灾标准，具备长期通畅能力，但在后期管养维护上存在不足，评价组现场抽查了四个县（市）共计43个项目路段（详见附件4），发现：六处路面出现1-2块麻面，一处山体滑坡堵塞路面，一处道路连接处破损，扣1.49分。</w:t>
      </w:r>
      <w:bookmarkEnd w:id="195"/>
    </w:p>
    <w:p w14:paraId="143ADA12">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3" w:firstLineChars="200"/>
        <w:jc w:val="both"/>
        <w:textAlignment w:val="auto"/>
        <w:outlineLvl w:val="2"/>
        <w:rPr>
          <w:rFonts w:hint="default" w:ascii="Times New Roman" w:hAnsi="Times New Roman" w:eastAsia="仿宋_GB2312" w:cs="Times New Roman"/>
          <w:kern w:val="2"/>
          <w:sz w:val="32"/>
          <w:szCs w:val="32"/>
          <w:lang w:val="en-US" w:eastAsia="zh-CN" w:bidi="ar-SA"/>
        </w:rPr>
      </w:pPr>
      <w:bookmarkStart w:id="196" w:name="_Toc9087"/>
      <w:bookmarkStart w:id="197" w:name="_Toc11262"/>
      <w:bookmarkStart w:id="198" w:name="_Toc27377"/>
      <w:bookmarkStart w:id="199" w:name="_Toc18904"/>
      <w:bookmarkStart w:id="200" w:name="_Toc12358"/>
      <w:r>
        <w:rPr>
          <w:rFonts w:hint="eastAsia" w:ascii="Times New Roman" w:hAnsi="Times New Roman" w:eastAsia="仿宋_GB2312" w:cs="Times New Roman"/>
          <w:b/>
          <w:bCs/>
          <w:sz w:val="32"/>
          <w:szCs w:val="32"/>
          <w:highlight w:val="none"/>
          <w:lang w:val="en-US" w:eastAsia="zh-CN"/>
        </w:rPr>
        <w:t>4.满意度</w:t>
      </w:r>
      <w:bookmarkEnd w:id="196"/>
      <w:bookmarkEnd w:id="197"/>
      <w:bookmarkEnd w:id="198"/>
      <w:bookmarkEnd w:id="199"/>
      <w:bookmarkEnd w:id="200"/>
    </w:p>
    <w:p w14:paraId="3848AE82">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outlineLvl w:val="2"/>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评价组对项目周边居民发放关于满意度的纸质调查问卷，发放问卷100份，收回100份。根据问卷调查选项汇总统计，项目整体满意度为93%（满意度调查结果详见附件2）。</w:t>
      </w:r>
    </w:p>
    <w:p w14:paraId="5E3B0BBC">
      <w:pPr>
        <w:pageBreakBefore w:val="0"/>
        <w:numPr>
          <w:ilvl w:val="0"/>
          <w:numId w:val="3"/>
        </w:numPr>
        <w:kinsoku/>
        <w:wordWrap/>
        <w:overflowPunct/>
        <w:topLinePunct w:val="0"/>
        <w:autoSpaceDE/>
        <w:autoSpaceDN/>
        <w:bidi w:val="0"/>
        <w:adjustRightInd/>
        <w:snapToGrid/>
        <w:spacing w:line="560" w:lineRule="exact"/>
        <w:ind w:left="0" w:firstLine="640" w:firstLineChars="200"/>
        <w:outlineLvl w:val="0"/>
        <w:rPr>
          <w:rFonts w:hint="eastAsia" w:eastAsia="黑体"/>
          <w:sz w:val="32"/>
          <w:szCs w:val="32"/>
          <w:lang w:val="en-US" w:eastAsia="zh-CN"/>
        </w:rPr>
      </w:pPr>
      <w:r>
        <w:rPr>
          <w:rFonts w:hint="eastAsia" w:eastAsia="黑体"/>
          <w:sz w:val="32"/>
          <w:szCs w:val="32"/>
          <w:lang w:val="en-US" w:eastAsia="zh-CN"/>
        </w:rPr>
        <w:t>主要经验及做法、</w:t>
      </w:r>
      <w:r>
        <w:rPr>
          <w:rFonts w:eastAsia="黑体"/>
          <w:sz w:val="32"/>
          <w:szCs w:val="32"/>
        </w:rPr>
        <w:t>存在的问题</w:t>
      </w:r>
      <w:r>
        <w:rPr>
          <w:rFonts w:hint="eastAsia" w:eastAsia="黑体"/>
          <w:sz w:val="32"/>
          <w:szCs w:val="32"/>
          <w:lang w:val="en-US" w:eastAsia="zh-CN"/>
        </w:rPr>
        <w:t>及原因分析</w:t>
      </w:r>
    </w:p>
    <w:p w14:paraId="196339B1">
      <w:pPr>
        <w:pStyle w:val="4"/>
        <w:pageBreakBefore w:val="0"/>
        <w:widowControl w:val="0"/>
        <w:numPr>
          <w:ilvl w:val="0"/>
          <w:numId w:val="4"/>
        </w:numPr>
        <w:kinsoku/>
        <w:wordWrap/>
        <w:overflowPunct/>
        <w:topLinePunct w:val="0"/>
        <w:autoSpaceDE/>
        <w:autoSpaceDN/>
        <w:bidi w:val="0"/>
        <w:adjustRightInd/>
        <w:snapToGrid/>
        <w:spacing w:beforeLines="0" w:afterLines="0" w:line="560" w:lineRule="exact"/>
        <w:ind w:left="0" w:leftChars="0" w:firstLine="643" w:firstLineChars="200"/>
        <w:textAlignment w:val="auto"/>
        <w:rPr>
          <w:rFonts w:hint="eastAsia"/>
          <w:sz w:val="32"/>
          <w:szCs w:val="32"/>
          <w:lang w:val="en-US" w:eastAsia="zh-CN"/>
        </w:rPr>
      </w:pPr>
      <w:r>
        <w:rPr>
          <w:rFonts w:hint="eastAsia"/>
          <w:sz w:val="32"/>
          <w:szCs w:val="32"/>
          <w:lang w:val="en-US" w:eastAsia="zh-CN"/>
        </w:rPr>
        <w:t>主要经验及做法</w:t>
      </w:r>
    </w:p>
    <w:p w14:paraId="60B82A16">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baseline"/>
        <w:rPr>
          <w:rFonts w:hint="eastAsia" w:ascii="Times New Roman" w:hAnsi="Times New Roman" w:eastAsia="仿宋_GB2312" w:cs="Times New Roman"/>
          <w:b/>
          <w:bCs/>
          <w:kern w:val="2"/>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b/>
          <w:bCs/>
          <w:kern w:val="2"/>
          <w:sz w:val="32"/>
          <w:szCs w:val="32"/>
          <w:lang w:val="en-US" w:eastAsia="zh-CN" w:bidi="ar-SA"/>
        </w:rPr>
        <w:t>1.领导重视，多方聚力齐抓共管</w:t>
      </w:r>
    </w:p>
    <w:p w14:paraId="2D7222FB">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邵阳市积极响应农村地区人民群众对美好出行需求的向往，完善“三个一”机制，加快推进自然村通水泥路建设。</w:t>
      </w:r>
    </w:p>
    <w:p w14:paraId="4735E3C2">
      <w:pPr>
        <w:pStyle w:val="13"/>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把手”直接推进。市委、市政府高度重视，主要领导亲自过问、亲自推进；市政府抽调精干力量成立了邵阳市自然村通水泥（沥青）路建设路建设指挥部，分设5个小组；明确县委书记和县长是自然村通水泥路建设的第一责任人。</w:t>
      </w:r>
    </w:p>
    <w:p w14:paraId="68FCC262">
      <w:pPr>
        <w:pStyle w:val="13"/>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大力推行“一线工作法”。分管领导亲赴项目建设“一线”，督察、调研施工现场，调度工程进度，协调解决施工中遇到的实际问题；了解工作动态，及时部署、实时点评。</w:t>
      </w:r>
    </w:p>
    <w:p w14:paraId="51B76243">
      <w:pPr>
        <w:pStyle w:val="13"/>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部门一体协作配合。市人大开展了《邵阳市农村公路条例》起草调研，探索推行“路长制”和“农村公路灾毁保险制”；市政法委重拳开展农村公路建设领域扫黑除恶，坚决打击强买强卖、阻工闹事等行为；市发改委将建设项目打包列入全市重点项目，全面落实优惠政策，确保规费减免；市绩效办、农业农村局、扶贫办将项目建设工作分别纳入重点民生实事、乡村振兴和脱贫攻坚专项考核。</w:t>
      </w:r>
    </w:p>
    <w:p w14:paraId="400E27DF">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baseline"/>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2.聚焦建设，三个平台强化保障</w:t>
      </w:r>
    </w:p>
    <w:p w14:paraId="79B8CAFF">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邵阳市坚决执行省厅“三基本三确保”，即统一建设、依规实施、整合资金的基本要求，确保进度、确保质量、确保廉洁的工作目标。</w:t>
      </w:r>
    </w:p>
    <w:p w14:paraId="0D04952C">
      <w:pPr>
        <w:pStyle w:val="13"/>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建立质安管控平台。邵阳市严格执行统建施工模式，按照规划项目轨迹精准实施；实行政府监管、业主管理、社会监理、企业自检和农民群众代表参与监督的"五级监管"和“互联网+农村公路”监督模式；中标企业统一购买主材，确保原材料质量；开展质量问题和安全隐患清零行动。</w:t>
      </w:r>
    </w:p>
    <w:p w14:paraId="7DD6A3AF">
      <w:pPr>
        <w:pStyle w:val="13"/>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健全廉洁保障平台。纪检监察部门按照上级单位的要求，充分发挥“派”的权威和“驻”的优势，聚焦通组公路建设，把纪律和规矩挺在前。重点监督资金使用，市财政设立省、市奖补资金专账核算，根据进度支付到施工单位，各县（市区）及时筹集配套资金，实行专账管理、专款专用；全面压实市、县、乡、村四级责任，严格企业责任，督导施工企业层层签订了廉政建设责任状，及时提醒约谈。</w:t>
      </w:r>
    </w:p>
    <w:p w14:paraId="7F2A2726">
      <w:pPr>
        <w:pStyle w:val="13"/>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创新科技助力平台。通过对项目建设进度进行排名通报，营造争先创优环境；同时，借助科技全面提升自然村通水泥路建设管理标准化、精细化、快速化水平，采取无人机航拍识别、巡检APP系统定位、大型拌和场配料，实行一路一档、动态记录；完善信息台账系统，全面强化对监理单位、施工单位履约管理，做到实时留痕与闭环管理。</w:t>
      </w:r>
    </w:p>
    <w:p w14:paraId="27532721">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baseline"/>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3.创新理念，三大融合普惠民生</w:t>
      </w:r>
    </w:p>
    <w:p w14:paraId="12CFDED3">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邵阳市坚持新发展理念引领，服务乡村振兴、脱贫攻坚，将自然村通水泥路作为消除制约农村发展交通瓶颈的重要手段，全力建设“致富路”“振兴路”。</w:t>
      </w:r>
    </w:p>
    <w:p w14:paraId="2FD0918A">
      <w:pPr>
        <w:pStyle w:val="13"/>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注重与脱贫攻坚深度融合。邵阳市按照“脱贫攻坚、交通先行”的要求，对自然村通水泥路项目政策优先倾斜、资金优先保障、措施优先落实；同时，吸纳了1000余名建档立档贫困户参与农村公路养护。</w:t>
      </w:r>
    </w:p>
    <w:p w14:paraId="13952F25">
      <w:pPr>
        <w:pStyle w:val="13"/>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注重与乡村振兴深度融合。结合当地红色旅游、乡镇特色农产品销售网络等，全市积极探索推行“通组公路+”特色产业、乡村旅游等高质量发展新格局，让交通条件与关联产业、要素深度融合。</w:t>
      </w:r>
    </w:p>
    <w:p w14:paraId="1BBE6D97">
      <w:pPr>
        <w:pStyle w:val="13"/>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baseline"/>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注重与凝聚民心融合。邵阳市加强宣传，通过出刊简报、制作微信H5传播页面，并在中国公路网等发稿的方式，营造良好氛围；通过答记者问、发放宣传单、公开公示等形式广泛宣传农村公路建设政策，普惠民生；及时主动回复自然村通水泥路线路规划、资金投入、建设质量等信访问题，特别是在涉及具体利益问题上，采取进村入户，协商签字，回应社会关切、顺应群众期盼。</w:t>
      </w:r>
    </w:p>
    <w:p w14:paraId="77D8F71A">
      <w:pPr>
        <w:pStyle w:val="4"/>
        <w:pageBreakBefore w:val="0"/>
        <w:widowControl w:val="0"/>
        <w:numPr>
          <w:ilvl w:val="0"/>
          <w:numId w:val="4"/>
        </w:numPr>
        <w:kinsoku/>
        <w:wordWrap/>
        <w:overflowPunct/>
        <w:topLinePunct w:val="0"/>
        <w:autoSpaceDE/>
        <w:autoSpaceDN/>
        <w:bidi w:val="0"/>
        <w:adjustRightInd/>
        <w:snapToGrid/>
        <w:spacing w:beforeLines="0" w:afterLines="0" w:line="560" w:lineRule="exact"/>
        <w:ind w:left="0" w:leftChars="0" w:firstLine="643" w:firstLineChars="200"/>
        <w:textAlignment w:val="auto"/>
        <w:rPr>
          <w:rFonts w:hint="eastAsia"/>
          <w:sz w:val="32"/>
          <w:szCs w:val="32"/>
          <w:lang w:val="en-US" w:eastAsia="zh-CN"/>
        </w:rPr>
      </w:pPr>
      <w:r>
        <w:rPr>
          <w:rFonts w:hint="eastAsia"/>
          <w:sz w:val="32"/>
          <w:szCs w:val="32"/>
          <w:lang w:val="en-US" w:eastAsia="zh-CN"/>
        </w:rPr>
        <w:t>存在的问题及原因分析</w:t>
      </w:r>
    </w:p>
    <w:p w14:paraId="142B37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outlineLvl w:val="2"/>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1.未编报项目预算绩效目标</w:t>
      </w:r>
    </w:p>
    <w:p w14:paraId="30A6425C">
      <w:pPr>
        <w:pStyle w:val="5"/>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left="0" w:firstLine="640" w:firstLineChars="200"/>
        <w:textAlignment w:val="auto"/>
        <w:rPr>
          <w:rFonts w:hint="eastAsia" w:eastAsia="仿宋_GB2312" w:asciiTheme="minorHAnsi" w:hAnsiTheme="minorHAnsi" w:cstheme="minorBidi"/>
          <w:kern w:val="2"/>
          <w:sz w:val="32"/>
          <w:szCs w:val="32"/>
          <w:lang w:val="en-US" w:eastAsia="zh-CN" w:bidi="ar-SA"/>
        </w:rPr>
      </w:pPr>
      <w:r>
        <w:rPr>
          <w:rFonts w:hint="eastAsia" w:eastAsia="仿宋_GB2312" w:asciiTheme="minorHAnsi" w:hAnsiTheme="minorHAnsi" w:cstheme="minorBidi"/>
          <w:kern w:val="2"/>
          <w:sz w:val="32"/>
          <w:szCs w:val="32"/>
          <w:lang w:val="en-US" w:eastAsia="zh-CN" w:bidi="ar-SA"/>
        </w:rPr>
        <w:t>项目主管单位未针对本项目及时编报整体绩效目标和年度绩效目标，未设置清晰、可衡量、反映产出效益和效果的的目标指标值，预算绩效管理意识有待增强。</w:t>
      </w:r>
    </w:p>
    <w:p w14:paraId="0C0CC140">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lang w:val="en-US" w:eastAsia="zh-CN"/>
        </w:rPr>
      </w:pPr>
      <w:r>
        <w:rPr>
          <w:rFonts w:hint="eastAsia" w:eastAsia="仿宋_GB2312" w:cstheme="minorBidi"/>
          <w:kern w:val="2"/>
          <w:sz w:val="32"/>
          <w:szCs w:val="32"/>
          <w:lang w:val="en-US" w:eastAsia="zh-CN" w:bidi="ar-SA"/>
        </w:rPr>
        <w:t>主要原因：项目立项之初，预算绩效目标管理工作还未全面开展，主管单位未要求编制项目绩效目标，随着项目建设的推进，项目主管单位应根据实际情况编报年度绩效目标，设置清晰、可衡量的目标指标值。</w:t>
      </w:r>
    </w:p>
    <w:p w14:paraId="2BFDB1BB">
      <w:pPr>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2.利息收入未上缴国库</w:t>
      </w:r>
    </w:p>
    <w:p w14:paraId="0A5F59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outlineLvl w:val="2"/>
        <w:rPr>
          <w:rFonts w:hint="eastAsia" w:eastAsia="仿宋_GB2312"/>
          <w:sz w:val="32"/>
          <w:szCs w:val="32"/>
          <w:lang w:val="en-US" w:eastAsia="zh-CN"/>
        </w:rPr>
      </w:pPr>
      <w:r>
        <w:rPr>
          <w:rFonts w:hint="eastAsia" w:eastAsia="仿宋_GB2312"/>
          <w:sz w:val="32"/>
          <w:szCs w:val="32"/>
          <w:lang w:val="en-US" w:eastAsia="zh-CN"/>
        </w:rPr>
        <w:t>根据专项资金管理办法要求，省级奖补资金和市级奖补资金由市财政拨付至市指挥部账户，统一管理。</w:t>
      </w:r>
      <w:r>
        <w:rPr>
          <w:rFonts w:hint="eastAsia" w:ascii="Times New Roman" w:hAnsi="Times New Roman" w:eastAsia="仿宋_GB2312" w:cs="Times New Roman"/>
          <w:kern w:val="2"/>
          <w:sz w:val="32"/>
          <w:szCs w:val="32"/>
          <w:lang w:val="en-US" w:eastAsia="zh-CN" w:bidi="ar-SA"/>
        </w:rPr>
        <w:t>2018-2022年，专项资金账户共计产生利息83.24万元，项目实施单位未将利息收</w:t>
      </w:r>
      <w:r>
        <w:rPr>
          <w:rFonts w:hint="eastAsia" w:eastAsia="仿宋_GB2312"/>
          <w:sz w:val="32"/>
          <w:szCs w:val="32"/>
          <w:lang w:val="en-US" w:eastAsia="zh-CN"/>
        </w:rPr>
        <w:t>入上缴国库，而是做为项目经费拨付使用，不符合财政制度对“收支两条线”管理的相关规定。</w:t>
      </w:r>
    </w:p>
    <w:p w14:paraId="0FB7A6FE">
      <w:pPr>
        <w:keepNext w:val="0"/>
        <w:keepLines w:val="0"/>
        <w:pageBreakBefore w:val="0"/>
        <w:widowControl w:val="0"/>
        <w:kinsoku/>
        <w:wordWrap/>
        <w:overflowPunct/>
        <w:topLinePunct w:val="0"/>
        <w:autoSpaceDE/>
        <w:autoSpaceDN/>
        <w:bidi w:val="0"/>
        <w:adjustRightInd/>
        <w:snapToGrid/>
        <w:spacing w:line="560" w:lineRule="exact"/>
        <w:ind w:left="0" w:right="0" w:rightChars="0" w:firstLine="640" w:firstLineChars="200"/>
        <w:textAlignment w:val="auto"/>
        <w:rPr>
          <w:rFonts w:hint="default" w:eastAsia="仿宋_GB2312"/>
          <w:sz w:val="32"/>
          <w:szCs w:val="32"/>
          <w:highlight w:val="none"/>
          <w:lang w:val="en-US" w:eastAsia="zh-CN"/>
        </w:rPr>
      </w:pPr>
      <w:r>
        <w:rPr>
          <w:rFonts w:hint="eastAsia" w:eastAsia="仿宋_GB2312"/>
          <w:sz w:val="32"/>
          <w:szCs w:val="32"/>
          <w:highlight w:val="none"/>
          <w:lang w:val="en-US" w:eastAsia="zh-CN"/>
        </w:rPr>
        <w:t>主要原因：项目主管单位对财政、财务管理制度执行不够严格，相关政策、法规落实不到位，财务人员未按要求对</w:t>
      </w:r>
      <w:r>
        <w:rPr>
          <w:rFonts w:hint="eastAsia" w:ascii="Times New Roman" w:hAnsi="Times New Roman" w:eastAsia="仿宋_GB2312" w:cs="Times New Roman"/>
          <w:kern w:val="2"/>
          <w:sz w:val="32"/>
          <w:szCs w:val="32"/>
          <w:lang w:val="en-US" w:eastAsia="zh-CN" w:bidi="ar-SA"/>
        </w:rPr>
        <w:t>财政性资金利息收入进行会计核算。</w:t>
      </w:r>
    </w:p>
    <w:p w14:paraId="7E6E91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outlineLvl w:val="2"/>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2.后期管养维护落实不到位</w:t>
      </w:r>
    </w:p>
    <w:p w14:paraId="31463C4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现场检查过程中，评价组抽验了邵东、新邵、洞口、隆回四个县共计43个项目，发现部分项目路段路面出现堵塞、麻面、掉角等问题：个别项目路段道路两侧杂草茂密，遮盖部分路面、阻挡道路视线，造成路面使用面积减少；洞口县C78E、V077、隆回县C49F、VS06、新邵县C579、C30H路段路面1-2块板出现麻面；邵东市CB81路段道路一侧山体滑坡，泥土、砂石堵塞路面，影响通行；新邵县C30H新修项目路段与原有道路连接处掉角；新邵县C56A路段与原有道路连接处出现破损、开裂。</w:t>
      </w:r>
    </w:p>
    <w:p w14:paraId="528A803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主要原因：全市自然村通水泥（沥青）路建设工程路点多、线长、面广，公路管养任务较重，县（区）、乡（镇）、村三级养护管理机制还不健全，管养责任落实不到位。管养资金由地方统筹，资金无法得到有力保障。</w:t>
      </w:r>
    </w:p>
    <w:p w14:paraId="547C44EB">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sz w:val="32"/>
          <w:szCs w:val="32"/>
        </w:rPr>
      </w:pPr>
      <w:r>
        <w:rPr>
          <w:rFonts w:eastAsia="黑体"/>
          <w:sz w:val="32"/>
          <w:szCs w:val="32"/>
        </w:rPr>
        <w:t>有关建议</w:t>
      </w:r>
    </w:p>
    <w:p w14:paraId="79E23730">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Arial" w:hAnsi="Arial" w:eastAsia="楷体" w:cstheme="minorBidi"/>
          <w:b/>
          <w:kern w:val="2"/>
          <w:sz w:val="32"/>
          <w:szCs w:val="32"/>
          <w:lang w:val="en-US" w:eastAsia="zh-CN" w:bidi="ar-SA"/>
        </w:rPr>
      </w:pPr>
      <w:r>
        <w:rPr>
          <w:rFonts w:hint="eastAsia" w:ascii="Arial" w:hAnsi="Arial" w:eastAsia="楷体" w:cstheme="minorBidi"/>
          <w:b/>
          <w:kern w:val="2"/>
          <w:sz w:val="32"/>
          <w:szCs w:val="32"/>
          <w:lang w:val="en-US" w:eastAsia="zh-CN" w:bidi="ar-SA"/>
        </w:rPr>
        <w:t>强化预算绩效目标管理</w:t>
      </w:r>
    </w:p>
    <w:p w14:paraId="00046D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kern w:val="2"/>
          <w:sz w:val="32"/>
          <w:szCs w:val="32"/>
          <w:lang w:val="en-US" w:eastAsia="zh-CN" w:bidi="ar-SA"/>
        </w:rPr>
      </w:pPr>
      <w:r>
        <w:rPr>
          <w:rFonts w:hint="eastAsia" w:ascii="Times New Roman" w:hAnsi="Times New Roman" w:eastAsia="仿宋_GB2312" w:cs="Times New Roman"/>
          <w:b w:val="0"/>
          <w:kern w:val="2"/>
          <w:sz w:val="32"/>
          <w:szCs w:val="32"/>
          <w:lang w:val="en-US" w:eastAsia="zh-CN" w:bidi="ar-SA"/>
        </w:rPr>
        <w:t>预算绩效管理是深化财政改革的重要举措，是实行预算管理科学化、规范化、精细化的重要内容。建议增强预算绩效目标管理意识，完善项目预算绩效目标管理机制，项目主管单位应及时进行预算绩效目标申报，设置清晰明确、可量化的绩效目标指标，充分发挥绩效目标在项目实施及预算执行过程中的重要作用。</w:t>
      </w:r>
    </w:p>
    <w:p w14:paraId="00B11A9C">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Arial" w:hAnsi="Arial" w:eastAsia="楷体" w:cstheme="minorBidi"/>
          <w:b/>
          <w:kern w:val="2"/>
          <w:sz w:val="32"/>
          <w:szCs w:val="32"/>
          <w:lang w:val="en-US" w:eastAsia="zh-CN" w:bidi="ar-SA"/>
        </w:rPr>
      </w:pPr>
      <w:r>
        <w:rPr>
          <w:rFonts w:hint="eastAsia" w:ascii="Arial" w:hAnsi="Arial" w:eastAsia="楷体" w:cstheme="minorBidi"/>
          <w:b/>
          <w:kern w:val="2"/>
          <w:sz w:val="32"/>
          <w:szCs w:val="32"/>
          <w:lang w:val="en-US" w:eastAsia="zh-CN" w:bidi="ar-SA"/>
        </w:rPr>
        <w:t>加强财政性资金预算管理</w:t>
      </w:r>
    </w:p>
    <w:p w14:paraId="52673D5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严格执行财政财务管理制度，进一步规范利息收入核算，将取得的利息纳入预算管理，提高财政性资金利息收入会计核算的准确性；依照《中华人民共和国预算法》，及时上缴财政性资金存款利息收入，切实加强财政性资金预算管理。</w:t>
      </w:r>
    </w:p>
    <w:p w14:paraId="3F236304">
      <w:pPr>
        <w:pStyle w:val="4"/>
        <w:pageBreakBefore w:val="0"/>
        <w:widowControl w:val="0"/>
        <w:numPr>
          <w:ilvl w:val="0"/>
          <w:numId w:val="4"/>
        </w:numPr>
        <w:kinsoku/>
        <w:wordWrap/>
        <w:overflowPunct/>
        <w:topLinePunct w:val="0"/>
        <w:autoSpaceDE/>
        <w:autoSpaceDN/>
        <w:bidi w:val="0"/>
        <w:adjustRightInd/>
        <w:snapToGrid/>
        <w:spacing w:beforeLines="0" w:afterLines="0" w:line="560" w:lineRule="exact"/>
        <w:ind w:left="0" w:leftChars="0" w:firstLine="643" w:firstLineChars="200"/>
        <w:textAlignment w:val="auto"/>
        <w:rPr>
          <w:rFonts w:hint="eastAsia"/>
          <w:sz w:val="32"/>
          <w:szCs w:val="32"/>
          <w:lang w:val="en-US" w:eastAsia="zh-CN"/>
        </w:rPr>
      </w:pPr>
      <w:r>
        <w:rPr>
          <w:rFonts w:hint="eastAsia"/>
          <w:sz w:val="32"/>
          <w:szCs w:val="32"/>
          <w:lang w:val="en-US" w:eastAsia="zh-CN"/>
        </w:rPr>
        <w:t>健全农村公路养护管理机制</w:t>
      </w:r>
    </w:p>
    <w:p w14:paraId="5C1E22B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深化农村公路管理</w:t>
      </w:r>
      <w:r>
        <w:rPr>
          <w:rFonts w:hint="eastAsia" w:ascii="Times New Roman" w:hAnsi="Times New Roman" w:eastAsia="仿宋_GB2312" w:cs="Times New Roman"/>
          <w:b w:val="0"/>
          <w:bCs w:val="0"/>
          <w:kern w:val="2"/>
          <w:sz w:val="32"/>
          <w:szCs w:val="32"/>
          <w:lang w:val="en-US" w:eastAsia="zh-CN" w:bidi="ar-SA"/>
        </w:rPr>
        <w:t>养护体制改革，建立多部门参与的“路长制”工作机制，全面推行农村公路县、乡、村三级“路长制”，强化公路养护政府考核和资金保障，</w:t>
      </w:r>
      <w:r>
        <w:rPr>
          <w:rFonts w:hint="eastAsia" w:ascii="Times New Roman" w:hAnsi="Times New Roman" w:eastAsia="仿宋_GB2312" w:cs="Times New Roman"/>
          <w:kern w:val="2"/>
          <w:sz w:val="32"/>
          <w:szCs w:val="32"/>
          <w:lang w:val="en-US" w:eastAsia="zh-CN" w:bidi="ar-SA"/>
        </w:rPr>
        <w:t>创新养护模式，最终实现“一路一长”，推进农村公路建设、管理、养护、运营统筹发展。</w:t>
      </w:r>
    </w:p>
    <w:p w14:paraId="1F1C0E16">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default" w:ascii="Times New Roman" w:hAnsi="Times New Roman" w:eastAsia="仿宋_GB2312" w:cs="Times New Roman"/>
          <w:b w:val="0"/>
          <w:bCs w:val="0"/>
          <w:kern w:val="2"/>
          <w:sz w:val="32"/>
          <w:szCs w:val="32"/>
          <w:lang w:val="en-US" w:eastAsia="zh-CN" w:bidi="ar-SA"/>
        </w:rPr>
      </w:pPr>
      <w:bookmarkStart w:id="201" w:name="_GoBack"/>
      <w:bookmarkEnd w:id="201"/>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B019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94775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94775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9E183"/>
    <w:multiLevelType w:val="singleLevel"/>
    <w:tmpl w:val="B539E183"/>
    <w:lvl w:ilvl="0" w:tentative="0">
      <w:start w:val="1"/>
      <w:numFmt w:val="chineseCounting"/>
      <w:suff w:val="nothing"/>
      <w:lvlText w:val="（%1）"/>
      <w:lvlJc w:val="left"/>
      <w:rPr>
        <w:rFonts w:hint="eastAsia"/>
      </w:rPr>
    </w:lvl>
  </w:abstractNum>
  <w:abstractNum w:abstractNumId="1">
    <w:nsid w:val="CCA2E7AA"/>
    <w:multiLevelType w:val="singleLevel"/>
    <w:tmpl w:val="CCA2E7AA"/>
    <w:lvl w:ilvl="0" w:tentative="0">
      <w:start w:val="1"/>
      <w:numFmt w:val="chineseCounting"/>
      <w:suff w:val="nothing"/>
      <w:lvlText w:val="（%1）"/>
      <w:lvlJc w:val="left"/>
      <w:pPr>
        <w:ind w:left="407"/>
      </w:pPr>
      <w:rPr>
        <w:rFonts w:hint="eastAsia"/>
      </w:rPr>
    </w:lvl>
  </w:abstractNum>
  <w:abstractNum w:abstractNumId="2">
    <w:nsid w:val="DDE836A1"/>
    <w:multiLevelType w:val="singleLevel"/>
    <w:tmpl w:val="DDE836A1"/>
    <w:lvl w:ilvl="0" w:tentative="0">
      <w:start w:val="1"/>
      <w:numFmt w:val="decimal"/>
      <w:suff w:val="nothing"/>
      <w:lvlText w:val="（%1）"/>
      <w:lvlJc w:val="left"/>
    </w:lvl>
  </w:abstractNum>
  <w:abstractNum w:abstractNumId="3">
    <w:nsid w:val="F551FD61"/>
    <w:multiLevelType w:val="singleLevel"/>
    <w:tmpl w:val="F551FD61"/>
    <w:lvl w:ilvl="0" w:tentative="0">
      <w:start w:val="1"/>
      <w:numFmt w:val="decimal"/>
      <w:suff w:val="nothing"/>
      <w:lvlText w:val="（%1）"/>
      <w:lvlJc w:val="left"/>
    </w:lvl>
  </w:abstractNum>
  <w:abstractNum w:abstractNumId="4">
    <w:nsid w:val="FBB9FFF4"/>
    <w:multiLevelType w:val="singleLevel"/>
    <w:tmpl w:val="FBB9FFF4"/>
    <w:lvl w:ilvl="0" w:tentative="0">
      <w:start w:val="1"/>
      <w:numFmt w:val="chineseCounting"/>
      <w:suff w:val="nothing"/>
      <w:lvlText w:val="（%1）"/>
      <w:lvlJc w:val="left"/>
      <w:pPr>
        <w:ind w:left="640" w:leftChars="0" w:firstLine="0" w:firstLineChars="0"/>
      </w:pPr>
      <w:rPr>
        <w:rFonts w:hint="eastAsia"/>
      </w:rPr>
    </w:lvl>
  </w:abstractNum>
  <w:abstractNum w:abstractNumId="5">
    <w:nsid w:val="1A2132C7"/>
    <w:multiLevelType w:val="singleLevel"/>
    <w:tmpl w:val="1A2132C7"/>
    <w:lvl w:ilvl="0" w:tentative="0">
      <w:start w:val="4"/>
      <w:numFmt w:val="chineseCounting"/>
      <w:suff w:val="nothing"/>
      <w:lvlText w:val="%1、"/>
      <w:lvlJc w:val="left"/>
      <w:rPr>
        <w:rFonts w:hint="eastAsia"/>
      </w:rPr>
    </w:lvl>
  </w:abstractNum>
  <w:abstractNum w:abstractNumId="6">
    <w:nsid w:val="2AD1B03C"/>
    <w:multiLevelType w:val="singleLevel"/>
    <w:tmpl w:val="2AD1B03C"/>
    <w:lvl w:ilvl="0" w:tentative="0">
      <w:start w:val="1"/>
      <w:numFmt w:val="decimal"/>
      <w:suff w:val="nothing"/>
      <w:lvlText w:val="（%1）"/>
      <w:lvlJc w:val="left"/>
    </w:lvl>
  </w:abstractNum>
  <w:abstractNum w:abstractNumId="7">
    <w:nsid w:val="438CA17D"/>
    <w:multiLevelType w:val="singleLevel"/>
    <w:tmpl w:val="438CA17D"/>
    <w:lvl w:ilvl="0" w:tentative="0">
      <w:start w:val="1"/>
      <w:numFmt w:val="chineseCounting"/>
      <w:suff w:val="nothing"/>
      <w:lvlText w:val="（%1）"/>
      <w:lvlJc w:val="left"/>
      <w:rPr>
        <w:rFonts w:hint="eastAsia"/>
      </w:rPr>
    </w:lvl>
  </w:abstractNum>
  <w:num w:numId="1">
    <w:abstractNumId w:val="4"/>
  </w:num>
  <w:num w:numId="2">
    <w:abstractNumId w:val="7"/>
  </w:num>
  <w:num w:numId="3">
    <w:abstractNumId w:val="5"/>
  </w:num>
  <w:num w:numId="4">
    <w:abstractNumId w:val="1"/>
  </w:num>
  <w:num w:numId="5">
    <w:abstractNumId w:val="6"/>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zNDFhMjQxMzdmMjRiNjdjMWQwMjQ1Njc0MDQ1NjAifQ=="/>
  </w:docVars>
  <w:rsids>
    <w:rsidRoot w:val="6C67543E"/>
    <w:rsid w:val="007C2BD2"/>
    <w:rsid w:val="00F67CE9"/>
    <w:rsid w:val="00FA1F99"/>
    <w:rsid w:val="026D60FE"/>
    <w:rsid w:val="03A71105"/>
    <w:rsid w:val="049A5EFD"/>
    <w:rsid w:val="054564DD"/>
    <w:rsid w:val="059B00A7"/>
    <w:rsid w:val="05BF337A"/>
    <w:rsid w:val="06072E0C"/>
    <w:rsid w:val="091D5F59"/>
    <w:rsid w:val="09732BED"/>
    <w:rsid w:val="097E10D5"/>
    <w:rsid w:val="0AAC71FD"/>
    <w:rsid w:val="0ABA574E"/>
    <w:rsid w:val="0BDA2FDC"/>
    <w:rsid w:val="0BF41098"/>
    <w:rsid w:val="0C9B52D1"/>
    <w:rsid w:val="0D641F8A"/>
    <w:rsid w:val="0D821B4C"/>
    <w:rsid w:val="0EDC3291"/>
    <w:rsid w:val="0FC95811"/>
    <w:rsid w:val="108D1597"/>
    <w:rsid w:val="1133403E"/>
    <w:rsid w:val="11672928"/>
    <w:rsid w:val="14760CB8"/>
    <w:rsid w:val="15E05662"/>
    <w:rsid w:val="16F64834"/>
    <w:rsid w:val="180B52C8"/>
    <w:rsid w:val="18E1416F"/>
    <w:rsid w:val="1ABA3D41"/>
    <w:rsid w:val="1CC712FE"/>
    <w:rsid w:val="1CF6693F"/>
    <w:rsid w:val="1D8A7C66"/>
    <w:rsid w:val="1E465280"/>
    <w:rsid w:val="1F9B4E6C"/>
    <w:rsid w:val="20F6755E"/>
    <w:rsid w:val="23812B22"/>
    <w:rsid w:val="24253C3D"/>
    <w:rsid w:val="24DB3D71"/>
    <w:rsid w:val="24DE5462"/>
    <w:rsid w:val="25130BC6"/>
    <w:rsid w:val="26C21B6D"/>
    <w:rsid w:val="274F2919"/>
    <w:rsid w:val="27734657"/>
    <w:rsid w:val="293E2CE3"/>
    <w:rsid w:val="29F65B16"/>
    <w:rsid w:val="2B741AB9"/>
    <w:rsid w:val="2B8C4120"/>
    <w:rsid w:val="2BAF586D"/>
    <w:rsid w:val="2C0A62AF"/>
    <w:rsid w:val="2C0D5531"/>
    <w:rsid w:val="2DA05143"/>
    <w:rsid w:val="2DA179D7"/>
    <w:rsid w:val="2EAF14E4"/>
    <w:rsid w:val="2F8135BA"/>
    <w:rsid w:val="2FFF577F"/>
    <w:rsid w:val="300D5786"/>
    <w:rsid w:val="305F2FFB"/>
    <w:rsid w:val="319461C5"/>
    <w:rsid w:val="32164223"/>
    <w:rsid w:val="33FD1512"/>
    <w:rsid w:val="34050F42"/>
    <w:rsid w:val="353F1F4D"/>
    <w:rsid w:val="35BC70FA"/>
    <w:rsid w:val="35F85ADF"/>
    <w:rsid w:val="36670EC9"/>
    <w:rsid w:val="36F840A6"/>
    <w:rsid w:val="37235B0E"/>
    <w:rsid w:val="37530EA7"/>
    <w:rsid w:val="38AF2F46"/>
    <w:rsid w:val="3D170230"/>
    <w:rsid w:val="3F017567"/>
    <w:rsid w:val="3F37390F"/>
    <w:rsid w:val="40C01FCC"/>
    <w:rsid w:val="419A3796"/>
    <w:rsid w:val="44015C5C"/>
    <w:rsid w:val="45A71252"/>
    <w:rsid w:val="47A52A07"/>
    <w:rsid w:val="47C26A58"/>
    <w:rsid w:val="484B7B51"/>
    <w:rsid w:val="48E50F24"/>
    <w:rsid w:val="4972291F"/>
    <w:rsid w:val="4A2F13BC"/>
    <w:rsid w:val="4ADC78E1"/>
    <w:rsid w:val="4B8E012A"/>
    <w:rsid w:val="4CE36C91"/>
    <w:rsid w:val="4D84637D"/>
    <w:rsid w:val="4EFD01D6"/>
    <w:rsid w:val="4F3D668E"/>
    <w:rsid w:val="4F574544"/>
    <w:rsid w:val="51D342A3"/>
    <w:rsid w:val="52E80330"/>
    <w:rsid w:val="533A07AC"/>
    <w:rsid w:val="54AA591D"/>
    <w:rsid w:val="562B40FC"/>
    <w:rsid w:val="56D227CA"/>
    <w:rsid w:val="571719F0"/>
    <w:rsid w:val="579F28F4"/>
    <w:rsid w:val="5ABB4C52"/>
    <w:rsid w:val="5C322882"/>
    <w:rsid w:val="5C354C5E"/>
    <w:rsid w:val="5E4838C6"/>
    <w:rsid w:val="5EF52FE0"/>
    <w:rsid w:val="619811BA"/>
    <w:rsid w:val="61F22B4D"/>
    <w:rsid w:val="61FB2B9E"/>
    <w:rsid w:val="623C15A0"/>
    <w:rsid w:val="651B6803"/>
    <w:rsid w:val="66AB4160"/>
    <w:rsid w:val="66C07B61"/>
    <w:rsid w:val="67CE2249"/>
    <w:rsid w:val="67FA4380"/>
    <w:rsid w:val="69986948"/>
    <w:rsid w:val="69DD6F2C"/>
    <w:rsid w:val="6C67543E"/>
    <w:rsid w:val="6D0D34E8"/>
    <w:rsid w:val="6DA86FF6"/>
    <w:rsid w:val="6FFF7163"/>
    <w:rsid w:val="72CD17D5"/>
    <w:rsid w:val="72EE4A0C"/>
    <w:rsid w:val="73662CF9"/>
    <w:rsid w:val="73844B09"/>
    <w:rsid w:val="73EB4E7F"/>
    <w:rsid w:val="741A6C2C"/>
    <w:rsid w:val="74330B11"/>
    <w:rsid w:val="74424976"/>
    <w:rsid w:val="74C14AB4"/>
    <w:rsid w:val="757827D1"/>
    <w:rsid w:val="76284C1D"/>
    <w:rsid w:val="774E5E55"/>
    <w:rsid w:val="77645432"/>
    <w:rsid w:val="77A06B48"/>
    <w:rsid w:val="78612E2E"/>
    <w:rsid w:val="79A5521D"/>
    <w:rsid w:val="7A5769BE"/>
    <w:rsid w:val="7A7E219D"/>
    <w:rsid w:val="7ACF7C31"/>
    <w:rsid w:val="7E635596"/>
    <w:rsid w:val="7E793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line="560" w:lineRule="exact"/>
      <w:outlineLvl w:val="0"/>
    </w:pPr>
    <w:rPr>
      <w:rFonts w:eastAsia="黑体"/>
      <w:b/>
      <w:bCs/>
      <w:kern w:val="44"/>
      <w:szCs w:val="44"/>
    </w:rPr>
  </w:style>
  <w:style w:type="paragraph" w:styleId="4">
    <w:name w:val="heading 2"/>
    <w:basedOn w:val="1"/>
    <w:next w:val="1"/>
    <w:unhideWhenUsed/>
    <w:qFormat/>
    <w:uiPriority w:val="0"/>
    <w:pPr>
      <w:keepNext/>
      <w:keepLines/>
      <w:spacing w:beforeLines="0" w:beforeAutospacing="0" w:afterLines="0" w:afterAutospacing="0" w:line="560" w:lineRule="exact"/>
      <w:ind w:firstLine="640" w:firstLineChars="200"/>
      <w:outlineLvl w:val="1"/>
    </w:pPr>
    <w:rPr>
      <w:rFonts w:ascii="Arial" w:hAnsi="Arial" w:eastAsia="楷体"/>
      <w:b/>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5">
    <w:name w:val="toa heading"/>
    <w:basedOn w:val="1"/>
    <w:next w:val="1"/>
    <w:qFormat/>
    <w:uiPriority w:val="0"/>
    <w:pPr>
      <w:spacing w:before="120"/>
    </w:pPr>
    <w:rPr>
      <w:rFonts w:ascii="Arial" w:hAnsi="Arial" w:eastAsia="宋体" w:cs="Times New Roman"/>
      <w:sz w:val="24"/>
    </w:rPr>
  </w:style>
  <w:style w:type="paragraph" w:styleId="6">
    <w:name w:val="Block Text"/>
    <w:basedOn w:val="1"/>
    <w:qFormat/>
    <w:uiPriority w:val="0"/>
    <w:pPr>
      <w:ind w:left="0" w:leftChars="0" w:right="0" w:rightChars="0"/>
    </w:pPr>
    <w:rPr>
      <w:rFonts w:ascii="Times New Roman" w:hAnsi="Times New Roman"/>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style>
  <w:style w:type="paragraph" w:styleId="11">
    <w:name w:val="footnote text"/>
    <w:basedOn w:val="1"/>
    <w:semiHidden/>
    <w:qFormat/>
    <w:uiPriority w:val="0"/>
    <w:pPr>
      <w:snapToGrid w:val="0"/>
      <w:jc w:val="left"/>
    </w:pPr>
    <w:rPr>
      <w:sz w:val="18"/>
    </w:rPr>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kern w:val="0"/>
      <w:sz w:val="24"/>
    </w:rPr>
  </w:style>
  <w:style w:type="paragraph" w:styleId="16">
    <w:name w:val="List Paragraph"/>
    <w:basedOn w:val="1"/>
    <w:qFormat/>
    <w:uiPriority w:val="99"/>
    <w:pPr>
      <w:ind w:firstLine="420" w:firstLineChars="200"/>
    </w:pPr>
    <w:rPr>
      <w:rFonts w:ascii="Calibri" w:hAnsi="Calibri" w:eastAsia="宋体" w:cs="Times New Roman"/>
      <w:szCs w:val="22"/>
    </w:rPr>
  </w:style>
  <w:style w:type="character" w:customStyle="1" w:styleId="17">
    <w:name w:val="font61"/>
    <w:basedOn w:val="15"/>
    <w:qFormat/>
    <w:uiPriority w:val="0"/>
    <w:rPr>
      <w:rFonts w:hint="eastAsia" w:ascii="宋体" w:hAnsi="宋体" w:eastAsia="宋体" w:cs="宋体"/>
      <w:color w:val="000000"/>
      <w:sz w:val="18"/>
      <w:szCs w:val="18"/>
      <w:u w:val="none"/>
    </w:rPr>
  </w:style>
  <w:style w:type="character" w:customStyle="1" w:styleId="18">
    <w:name w:val="font51"/>
    <w:basedOn w:val="15"/>
    <w:qFormat/>
    <w:uiPriority w:val="0"/>
    <w:rPr>
      <w:rFonts w:hint="default" w:ascii="Times New Roman" w:hAnsi="Times New Roman" w:cs="Times New Roman"/>
      <w:color w:val="000000"/>
      <w:sz w:val="18"/>
      <w:szCs w:val="18"/>
      <w:u w:val="none"/>
    </w:rPr>
  </w:style>
  <w:style w:type="character" w:customStyle="1" w:styleId="19">
    <w:name w:val="font81"/>
    <w:basedOn w:val="15"/>
    <w:qFormat/>
    <w:uiPriority w:val="0"/>
    <w:rPr>
      <w:rFonts w:ascii="仿宋" w:hAnsi="仿宋" w:eastAsia="仿宋" w:cs="仿宋"/>
      <w:color w:val="000000"/>
      <w:sz w:val="18"/>
      <w:szCs w:val="18"/>
      <w:u w:val="none"/>
    </w:rPr>
  </w:style>
  <w:style w:type="character" w:customStyle="1" w:styleId="20">
    <w:name w:val="font21"/>
    <w:basedOn w:val="15"/>
    <w:qFormat/>
    <w:uiPriority w:val="0"/>
    <w:rPr>
      <w:rFonts w:hint="eastAsia" w:ascii="宋体" w:hAnsi="宋体" w:eastAsia="宋体" w:cs="宋体"/>
      <w:color w:val="000000"/>
      <w:sz w:val="18"/>
      <w:szCs w:val="18"/>
      <w:u w:val="none"/>
    </w:rPr>
  </w:style>
  <w:style w:type="character" w:customStyle="1" w:styleId="21">
    <w:name w:val="font11"/>
    <w:basedOn w:val="15"/>
    <w:qFormat/>
    <w:uiPriority w:val="0"/>
    <w:rPr>
      <w:rFonts w:hint="default" w:ascii="Times New Roman" w:hAnsi="Times New Roman" w:cs="Times New Roman"/>
      <w:color w:val="000000"/>
      <w:sz w:val="18"/>
      <w:szCs w:val="18"/>
      <w:u w:val="none"/>
    </w:rPr>
  </w:style>
  <w:style w:type="character" w:customStyle="1" w:styleId="22">
    <w:name w:val="font31"/>
    <w:basedOn w:val="15"/>
    <w:qFormat/>
    <w:uiPriority w:val="0"/>
    <w:rPr>
      <w:rFonts w:hint="eastAsia" w:ascii="宋体" w:hAnsi="宋体" w:eastAsia="宋体" w:cs="宋体"/>
      <w:color w:val="000000"/>
      <w:sz w:val="24"/>
      <w:szCs w:val="24"/>
      <w:u w:val="none"/>
    </w:rPr>
  </w:style>
  <w:style w:type="character" w:customStyle="1" w:styleId="23">
    <w:name w:val="font01"/>
    <w:basedOn w:val="15"/>
    <w:qFormat/>
    <w:uiPriority w:val="0"/>
    <w:rPr>
      <w:rFonts w:hint="default" w:ascii="Times New Roman" w:hAnsi="Times New Roman" w:cs="Times New Roman"/>
      <w:color w:val="000000"/>
      <w:sz w:val="24"/>
      <w:szCs w:val="24"/>
      <w:u w:val="none"/>
    </w:rPr>
  </w:style>
  <w:style w:type="character" w:customStyle="1" w:styleId="24">
    <w:name w:val="font41"/>
    <w:basedOn w:val="15"/>
    <w:qFormat/>
    <w:uiPriority w:val="0"/>
    <w:rPr>
      <w:rFonts w:hint="eastAsia" w:ascii="宋体" w:hAnsi="宋体" w:eastAsia="宋体" w:cs="宋体"/>
      <w:color w:val="000000"/>
      <w:sz w:val="18"/>
      <w:szCs w:val="18"/>
      <w:u w:val="none"/>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 w:type="paragraph" w:customStyle="1" w:styleId="27">
    <w:name w:val="WPSOffice手动目录 3"/>
    <w:qFormat/>
    <w:uiPriority w:val="0"/>
    <w:pPr>
      <w:ind w:leftChars="400"/>
    </w:pPr>
    <w:rPr>
      <w:rFonts w:ascii="Times New Roman" w:hAnsi="Times New Roman" w:eastAsia="宋体" w:cs="Times New Roman"/>
      <w:sz w:val="20"/>
      <w:szCs w:val="20"/>
    </w:rPr>
  </w:style>
  <w:style w:type="character" w:customStyle="1" w:styleId="28">
    <w:name w:val="font71"/>
    <w:basedOn w:val="15"/>
    <w:qFormat/>
    <w:uiPriority w:val="0"/>
    <w:rPr>
      <w:rFonts w:hint="eastAsia" w:ascii="宋体" w:hAnsi="宋体" w:eastAsia="宋体" w:cs="宋体"/>
      <w:color w:val="000000"/>
      <w:sz w:val="20"/>
      <w:szCs w:val="20"/>
      <w:u w:val="none"/>
    </w:rPr>
  </w:style>
  <w:style w:type="character" w:customStyle="1" w:styleId="29">
    <w:name w:val="font91"/>
    <w:basedOn w:val="15"/>
    <w:qFormat/>
    <w:uiPriority w:val="0"/>
    <w:rPr>
      <w:rFonts w:ascii="Segoe UI Symbol" w:hAnsi="Segoe UI Symbol" w:eastAsia="Segoe UI Symbol" w:cs="Segoe UI Symbol"/>
      <w:color w:val="000000"/>
      <w:sz w:val="21"/>
      <w:szCs w:val="21"/>
      <w:u w:val="none"/>
    </w:rPr>
  </w:style>
  <w:style w:type="character" w:customStyle="1" w:styleId="30">
    <w:name w:val="font101"/>
    <w:basedOn w:val="15"/>
    <w:qFormat/>
    <w:uiPriority w:val="0"/>
    <w:rPr>
      <w:rFonts w:ascii="Arial" w:hAnsi="Arial" w:cs="Arial"/>
      <w:color w:val="000000"/>
      <w:sz w:val="21"/>
      <w:szCs w:val="21"/>
      <w:u w:val="none"/>
    </w:rPr>
  </w:style>
  <w:style w:type="character" w:customStyle="1" w:styleId="31">
    <w:name w:val="font112"/>
    <w:basedOn w:val="15"/>
    <w:qFormat/>
    <w:uiPriority w:val="0"/>
    <w:rPr>
      <w:rFonts w:hint="default" w:ascii="仿宋_GB2312" w:eastAsia="仿宋_GB2312" w:cs="仿宋_GB2312"/>
      <w:b/>
      <w:bCs/>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9673</Words>
  <Characters>10804</Characters>
  <Lines>0</Lines>
  <Paragraphs>0</Paragraphs>
  <TotalTime>5</TotalTime>
  <ScaleCrop>false</ScaleCrop>
  <LinksUpToDate>false</LinksUpToDate>
  <CharactersWithSpaces>10857</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2022-08-03T14:01:00Z</dcterms:created>
  <dc:creator>微信用户</dc:creator>
  <cp:lastModifiedBy>李国初_</cp:lastModifiedBy>
  <dcterms:modified xsi:type="dcterms:W3CDTF">2024-09-03T12:26:11Z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7A89DF3CC1EA49B8B284D49DDCEC60C7</vt:lpwstr>
  </property>
</Properties>
</file>