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cs="黑体"/>
          <w:sz w:val="44"/>
          <w:szCs w:val="44"/>
        </w:rPr>
      </w:pPr>
      <w:r>
        <w:rPr>
          <w:rFonts w:hint="eastAsia" w:ascii="黑体" w:hAnsi="黑体" w:eastAsia="黑体" w:cs="黑体"/>
          <w:sz w:val="44"/>
          <w:szCs w:val="44"/>
        </w:rPr>
        <w:t>邵阳市2021年度污染防治项目</w:t>
      </w:r>
    </w:p>
    <w:p>
      <w:pPr>
        <w:spacing w:line="560" w:lineRule="exact"/>
        <w:jc w:val="center"/>
        <w:rPr>
          <w:rFonts w:ascii="仿宋" w:hAnsi="仿宋" w:eastAsia="仿宋" w:cs="仿宋"/>
          <w:sz w:val="44"/>
          <w:szCs w:val="44"/>
        </w:rPr>
      </w:pPr>
      <w:r>
        <w:rPr>
          <w:rFonts w:hint="eastAsia" w:ascii="黑体" w:hAnsi="黑体" w:eastAsia="黑体" w:cs="黑体"/>
          <w:sz w:val="44"/>
          <w:szCs w:val="44"/>
        </w:rPr>
        <w:t>专项资金绩效评价报告</w:t>
      </w:r>
    </w:p>
    <w:p>
      <w:pPr>
        <w:spacing w:line="560" w:lineRule="exact"/>
        <w:ind w:firstLine="640"/>
        <w:jc w:val="center"/>
        <w:rPr>
          <w:rFonts w:ascii="仿宋" w:hAnsi="仿宋" w:eastAsia="仿宋" w:cs="仿宋"/>
          <w:sz w:val="30"/>
          <w:szCs w:val="30"/>
        </w:rPr>
      </w:pP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为了贯彻落实党的十九大关于“全面实施绩效管理”重要精神，</w:t>
      </w:r>
      <w:r>
        <w:rPr>
          <w:rFonts w:eastAsia="仿宋_GB2312"/>
          <w:sz w:val="30"/>
          <w:szCs w:val="30"/>
        </w:rPr>
        <w:t>进一步规范政府</w:t>
      </w:r>
      <w:r>
        <w:rPr>
          <w:rFonts w:hint="eastAsia" w:eastAsia="仿宋_GB2312"/>
          <w:sz w:val="30"/>
          <w:szCs w:val="30"/>
        </w:rPr>
        <w:t>财政资金</w:t>
      </w:r>
      <w:r>
        <w:rPr>
          <w:rFonts w:eastAsia="仿宋_GB2312"/>
          <w:sz w:val="30"/>
          <w:szCs w:val="30"/>
        </w:rPr>
        <w:t>项目管理，提高政府</w:t>
      </w:r>
      <w:r>
        <w:rPr>
          <w:rFonts w:hint="eastAsia" w:eastAsia="仿宋_GB2312"/>
          <w:sz w:val="30"/>
          <w:szCs w:val="30"/>
        </w:rPr>
        <w:t>财政</w:t>
      </w:r>
      <w:r>
        <w:rPr>
          <w:rFonts w:eastAsia="仿宋_GB2312"/>
          <w:sz w:val="30"/>
          <w:szCs w:val="30"/>
        </w:rPr>
        <w:t>资金使用效益，提升政府</w:t>
      </w:r>
      <w:r>
        <w:rPr>
          <w:rFonts w:hint="eastAsia" w:eastAsia="仿宋_GB2312"/>
          <w:sz w:val="30"/>
          <w:szCs w:val="30"/>
        </w:rPr>
        <w:t>财政资金</w:t>
      </w:r>
      <w:r>
        <w:rPr>
          <w:rFonts w:eastAsia="仿宋_GB2312"/>
          <w:sz w:val="30"/>
          <w:szCs w:val="30"/>
        </w:rPr>
        <w:t>管理水平，</w:t>
      </w:r>
      <w:r>
        <w:rPr>
          <w:rFonts w:hint="eastAsia" w:ascii="仿宋" w:hAnsi="仿宋" w:eastAsia="仿宋" w:cs="仿宋"/>
          <w:sz w:val="30"/>
          <w:szCs w:val="30"/>
        </w:rPr>
        <w:t>加强</w:t>
      </w:r>
      <w:bookmarkStart w:id="0" w:name="_GoBack"/>
      <w:bookmarkEnd w:id="0"/>
      <w:r>
        <w:rPr>
          <w:rFonts w:hint="eastAsia" w:ascii="仿宋" w:hAnsi="仿宋" w:eastAsia="仿宋" w:cs="仿宋"/>
          <w:sz w:val="30"/>
          <w:szCs w:val="30"/>
        </w:rPr>
        <w:t>预算支出的管理工作。受邵阳市财政局委托，湖南希望会计师事务所有限责任公司绩效评价工作小组于2022年7月25日至8月6日对邵阳市生态环境局、湖南邵阳天子湖国家湿地公园管理处等单位实施的</w:t>
      </w:r>
      <w:r>
        <w:rPr>
          <w:rFonts w:hint="eastAsia" w:ascii="仿宋" w:hAnsi="仿宋" w:eastAsia="仿宋" w:cs="仿宋"/>
          <w:color w:val="535353"/>
          <w:kern w:val="0"/>
          <w:sz w:val="30"/>
          <w:szCs w:val="30"/>
        </w:rPr>
        <w:t>2021年度污染防治项目专项财政资金实施</w:t>
      </w:r>
      <w:r>
        <w:rPr>
          <w:rFonts w:hint="eastAsia" w:ascii="仿宋" w:hAnsi="仿宋" w:eastAsia="仿宋" w:cs="仿宋"/>
          <w:sz w:val="30"/>
          <w:szCs w:val="30"/>
        </w:rPr>
        <w:t>了绩效评价。现将有关评价过程及结果报告如下：</w:t>
      </w:r>
    </w:p>
    <w:p>
      <w:pPr>
        <w:spacing w:line="560" w:lineRule="exact"/>
        <w:ind w:firstLine="643" w:firstLineChars="200"/>
        <w:rPr>
          <w:rFonts w:eastAsia="黑体"/>
          <w:sz w:val="32"/>
          <w:szCs w:val="32"/>
        </w:rPr>
      </w:pPr>
      <w:r>
        <w:rPr>
          <w:rFonts w:hint="eastAsia" w:ascii="仿宋" w:hAnsi="仿宋" w:eastAsia="仿宋" w:cs="仿宋"/>
          <w:b/>
          <w:bCs/>
          <w:sz w:val="32"/>
          <w:szCs w:val="32"/>
        </w:rPr>
        <w:t>一、评价概括</w:t>
      </w:r>
    </w:p>
    <w:p>
      <w:pPr>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为了如期、高质量地完成本项目专项资金绩效评价工作，湖南希望会计师事务所有限责任公司召开了相关专门会议，并从本</w:t>
      </w:r>
    </w:p>
    <w:p>
      <w:pPr>
        <w:spacing w:line="560" w:lineRule="exact"/>
        <w:jc w:val="left"/>
        <w:rPr>
          <w:rFonts w:hint="eastAsia" w:ascii="仿宋" w:hAnsi="仿宋" w:eastAsia="仿宋" w:cs="仿宋"/>
          <w:sz w:val="30"/>
          <w:szCs w:val="30"/>
        </w:rPr>
      </w:pPr>
      <w:r>
        <w:rPr>
          <w:rFonts w:hint="eastAsia" w:ascii="仿宋" w:hAnsi="仿宋" w:eastAsia="仿宋" w:cs="仿宋"/>
          <w:sz w:val="30"/>
          <w:szCs w:val="30"/>
        </w:rPr>
        <w:t>所抽调部分精干力量成立了针对该专项资金的工作组，工作组成员由张永山、段冬艳、周恩浩等人组成。张永山担任项目组组长，负责现场评价工作的组织、监督及与项目管理部门沟通，督促并协调评价小组成员的工作，在评价小组出现不同意见时充当协调人。评价小组于7月12日参加了邵阳市财政局相关会议，并按照邵阳市财政局《关于开展2021年度污染防治专项资金绩效评</w:t>
      </w:r>
    </w:p>
    <w:p>
      <w:pPr>
        <w:spacing w:line="560" w:lineRule="exact"/>
        <w:jc w:val="left"/>
        <w:rPr>
          <w:rFonts w:hint="eastAsia" w:ascii="仿宋" w:hAnsi="仿宋" w:eastAsia="仿宋" w:cs="仿宋"/>
          <w:sz w:val="30"/>
          <w:szCs w:val="30"/>
        </w:rPr>
      </w:pPr>
      <w:r>
        <w:rPr>
          <w:rFonts w:hint="eastAsia" w:ascii="仿宋" w:hAnsi="仿宋" w:eastAsia="仿宋" w:cs="仿宋"/>
          <w:sz w:val="30"/>
          <w:szCs w:val="30"/>
        </w:rPr>
        <w:t>价工作的通知》（邵财绩〔2022〕3号）文件相关要求，具体制</w:t>
      </w:r>
    </w:p>
    <w:p>
      <w:pPr>
        <w:spacing w:line="560" w:lineRule="exact"/>
        <w:jc w:val="left"/>
        <w:rPr>
          <w:rFonts w:eastAsia="黑体"/>
          <w:sz w:val="30"/>
          <w:szCs w:val="30"/>
        </w:rPr>
      </w:pPr>
      <w:r>
        <w:rPr>
          <w:rFonts w:hint="eastAsia" w:ascii="仿宋" w:hAnsi="仿宋" w:eastAsia="仿宋" w:cs="仿宋"/>
          <w:sz w:val="30"/>
          <w:szCs w:val="30"/>
        </w:rPr>
        <w:t>定了本项目绩效评价工作方案，项目组于7月25日进入项目实施单位开展现场评价，8月6日现场评价工作结束。评价过程中，项目实施单位按照项目组相关要求及时提供了相关资料，并给与了项目组积极的配合与支持，绩效评价工作顺利进行。</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二、绩效评价的目的和依据</w:t>
      </w:r>
    </w:p>
    <w:p>
      <w:pPr>
        <w:spacing w:line="560" w:lineRule="exact"/>
        <w:ind w:firstLine="300" w:firstLineChars="100"/>
        <w:rPr>
          <w:rFonts w:ascii="仿宋" w:hAnsi="仿宋" w:eastAsia="仿宋" w:cs="仿宋"/>
          <w:sz w:val="30"/>
          <w:szCs w:val="30"/>
        </w:rPr>
      </w:pPr>
      <w:r>
        <w:rPr>
          <w:rFonts w:hint="eastAsia" w:ascii="仿宋" w:hAnsi="仿宋" w:eastAsia="仿宋" w:cs="仿宋"/>
          <w:sz w:val="30"/>
          <w:szCs w:val="30"/>
        </w:rPr>
        <w:t>1）绩效评价的目的</w:t>
      </w:r>
    </w:p>
    <w:p>
      <w:pPr>
        <w:spacing w:line="560" w:lineRule="exact"/>
        <w:ind w:firstLine="600" w:firstLineChars="200"/>
        <w:rPr>
          <w:rFonts w:ascii="仿宋" w:hAnsi="仿宋" w:eastAsia="仿宋" w:cs="仿宋"/>
          <w:color w:val="FF0000"/>
          <w:sz w:val="30"/>
          <w:szCs w:val="30"/>
        </w:rPr>
      </w:pPr>
      <w:r>
        <w:rPr>
          <w:rFonts w:hint="eastAsia" w:ascii="仿宋" w:hAnsi="仿宋" w:eastAsia="仿宋" w:cs="仿宋"/>
          <w:sz w:val="30"/>
          <w:szCs w:val="30"/>
        </w:rPr>
        <w:t>全面了解邵阳市生态环境局等单位实施的污染防治项目财政资金使用的效率和效果，根据该财政专项资金的实际使用过程，总结成绩和存在的问题，为今后完善相关管理工作提供科学化的信息。</w:t>
      </w:r>
    </w:p>
    <w:p>
      <w:pPr>
        <w:numPr>
          <w:ilvl w:val="0"/>
          <w:numId w:val="1"/>
        </w:numPr>
        <w:spacing w:line="560" w:lineRule="exact"/>
        <w:ind w:firstLine="300" w:firstLineChars="100"/>
        <w:rPr>
          <w:rFonts w:ascii="仿宋" w:hAnsi="仿宋" w:eastAsia="仿宋" w:cs="仿宋"/>
          <w:sz w:val="30"/>
          <w:szCs w:val="30"/>
        </w:rPr>
      </w:pPr>
      <w:r>
        <w:rPr>
          <w:rFonts w:hint="eastAsia" w:ascii="仿宋" w:hAnsi="仿宋" w:eastAsia="仿宋" w:cs="仿宋"/>
          <w:sz w:val="30"/>
          <w:szCs w:val="30"/>
        </w:rPr>
        <w:t>评价依据</w:t>
      </w:r>
    </w:p>
    <w:p>
      <w:pPr>
        <w:spacing w:line="560" w:lineRule="exact"/>
        <w:ind w:firstLine="300" w:firstLineChars="100"/>
        <w:jc w:val="left"/>
        <w:rPr>
          <w:rFonts w:ascii="仿宋" w:hAnsi="仿宋" w:eastAsia="仿宋" w:cs="仿宋"/>
          <w:sz w:val="30"/>
          <w:szCs w:val="30"/>
        </w:rPr>
      </w:pPr>
      <w:r>
        <w:rPr>
          <w:rFonts w:hint="eastAsia" w:ascii="仿宋" w:hAnsi="仿宋" w:eastAsia="仿宋" w:cs="仿宋"/>
          <w:sz w:val="30"/>
          <w:szCs w:val="30"/>
        </w:rPr>
        <w:t>（1）《中华人民共和国预算法》；</w:t>
      </w:r>
    </w:p>
    <w:p>
      <w:pPr>
        <w:spacing w:line="560" w:lineRule="exact"/>
        <w:ind w:firstLine="300" w:firstLineChars="100"/>
        <w:jc w:val="left"/>
        <w:rPr>
          <w:rFonts w:ascii="仿宋" w:hAnsi="仿宋" w:eastAsia="仿宋" w:cs="仿宋"/>
          <w:sz w:val="30"/>
          <w:szCs w:val="30"/>
          <w:shd w:val="clear" w:color="auto" w:fill="FFFFFF"/>
        </w:rPr>
      </w:pPr>
      <w:r>
        <w:rPr>
          <w:rFonts w:hint="eastAsia" w:ascii="仿宋" w:hAnsi="仿宋" w:eastAsia="仿宋" w:cs="仿宋"/>
          <w:sz w:val="30"/>
          <w:szCs w:val="30"/>
          <w:shd w:val="clear" w:color="auto" w:fill="FFFFFF"/>
        </w:rPr>
        <w:t>（2）《中共中央国务院关于全面实施预算绩效管理的意见》（中发〔2018〕34号）；</w:t>
      </w:r>
    </w:p>
    <w:p>
      <w:pPr>
        <w:spacing w:line="560" w:lineRule="exact"/>
        <w:ind w:firstLine="300" w:firstLineChars="100"/>
        <w:jc w:val="left"/>
        <w:rPr>
          <w:rFonts w:ascii="仿宋" w:hAnsi="仿宋" w:eastAsia="仿宋" w:cs="仿宋"/>
          <w:sz w:val="30"/>
          <w:szCs w:val="30"/>
        </w:rPr>
      </w:pPr>
      <w:r>
        <w:rPr>
          <w:rFonts w:hint="eastAsia" w:ascii="仿宋" w:hAnsi="仿宋" w:eastAsia="仿宋" w:cs="仿宋"/>
          <w:sz w:val="30"/>
          <w:szCs w:val="30"/>
        </w:rPr>
        <w:t>（3）《财政部关于印发&lt;项目支出绩效评价管理办法&gt;的通知》（财预〔2020〕10号）；</w:t>
      </w:r>
    </w:p>
    <w:p>
      <w:pPr>
        <w:spacing w:line="560" w:lineRule="exact"/>
        <w:ind w:firstLine="300" w:firstLineChars="100"/>
        <w:jc w:val="left"/>
        <w:rPr>
          <w:rFonts w:ascii="仿宋" w:hAnsi="仿宋" w:eastAsia="仿宋" w:cs="仿宋"/>
          <w:sz w:val="30"/>
          <w:szCs w:val="30"/>
        </w:rPr>
      </w:pPr>
      <w:r>
        <w:rPr>
          <w:rFonts w:hint="eastAsia" w:ascii="仿宋" w:hAnsi="仿宋" w:eastAsia="仿宋" w:cs="仿宋"/>
          <w:sz w:val="30"/>
          <w:szCs w:val="30"/>
        </w:rPr>
        <w:t>（4）中共湖南省委办公厅、湖南省人民政府办公厅《关于全面实施预算绩效管理的实施意见》（湘办发〔2019〕10号）；</w:t>
      </w:r>
    </w:p>
    <w:p>
      <w:pPr>
        <w:spacing w:line="560" w:lineRule="exact"/>
        <w:ind w:firstLine="300" w:firstLineChars="100"/>
        <w:jc w:val="left"/>
        <w:rPr>
          <w:rFonts w:ascii="仿宋" w:hAnsi="仿宋" w:eastAsia="仿宋" w:cs="仿宋"/>
          <w:sz w:val="30"/>
          <w:szCs w:val="30"/>
        </w:rPr>
      </w:pPr>
      <w:r>
        <w:rPr>
          <w:rFonts w:hint="eastAsia" w:ascii="仿宋" w:hAnsi="仿宋" w:eastAsia="仿宋" w:cs="仿宋"/>
          <w:sz w:val="30"/>
          <w:szCs w:val="30"/>
        </w:rPr>
        <w:t>（5）《湖南省人民政府关于进一步深化预算管理制度改革的实施意见》（湘政发〔2021〕14号）；</w:t>
      </w:r>
    </w:p>
    <w:p>
      <w:pPr>
        <w:spacing w:line="560" w:lineRule="exact"/>
        <w:ind w:firstLine="300" w:firstLineChars="100"/>
        <w:jc w:val="left"/>
        <w:rPr>
          <w:rFonts w:ascii="仿宋" w:hAnsi="仿宋" w:eastAsia="仿宋" w:cs="仿宋"/>
          <w:sz w:val="30"/>
          <w:szCs w:val="30"/>
        </w:rPr>
      </w:pPr>
      <w:r>
        <w:rPr>
          <w:rFonts w:hint="eastAsia" w:ascii="仿宋" w:hAnsi="仿宋" w:eastAsia="仿宋" w:cs="仿宋"/>
          <w:sz w:val="30"/>
          <w:szCs w:val="30"/>
        </w:rPr>
        <w:t>（6）湖南省财政厅关于印发《湖南省预算绩效目标管理办法》的通知（湘财绩〔2020〕6号）；</w:t>
      </w:r>
    </w:p>
    <w:p>
      <w:pPr>
        <w:spacing w:line="560" w:lineRule="exact"/>
        <w:ind w:firstLine="300" w:firstLineChars="100"/>
        <w:jc w:val="left"/>
        <w:rPr>
          <w:rFonts w:ascii="仿宋" w:hAnsi="仿宋" w:eastAsia="仿宋" w:cs="仿宋"/>
          <w:sz w:val="30"/>
          <w:szCs w:val="30"/>
        </w:rPr>
      </w:pPr>
      <w:r>
        <w:rPr>
          <w:rFonts w:hint="eastAsia" w:ascii="仿宋" w:hAnsi="仿宋" w:eastAsia="仿宋" w:cs="仿宋"/>
          <w:sz w:val="30"/>
          <w:szCs w:val="30"/>
        </w:rPr>
        <w:t>（7）湖南省财政厅关于印发《湖南省预算支出绩效评价管理办法》的通知（湘财绩〔2020〕7号）；</w:t>
      </w:r>
    </w:p>
    <w:p>
      <w:pPr>
        <w:spacing w:line="560" w:lineRule="exact"/>
        <w:ind w:firstLine="300" w:firstLineChars="100"/>
        <w:jc w:val="left"/>
        <w:rPr>
          <w:rFonts w:ascii="仿宋" w:hAnsi="仿宋" w:eastAsia="仿宋" w:cs="仿宋"/>
          <w:color w:val="FF0000"/>
          <w:sz w:val="30"/>
          <w:szCs w:val="30"/>
        </w:rPr>
      </w:pPr>
      <w:r>
        <w:rPr>
          <w:rFonts w:hint="eastAsia" w:ascii="仿宋" w:hAnsi="仿宋" w:eastAsia="仿宋" w:cs="仿宋"/>
          <w:sz w:val="30"/>
          <w:szCs w:val="30"/>
        </w:rPr>
        <w:t>（8）湖南省财政厅关于印发《湖南省省级预算支出绩效评价结果应用管理办法》的通知（湘财绩〔2020〕9号）；</w:t>
      </w:r>
    </w:p>
    <w:p>
      <w:pPr>
        <w:spacing w:line="560" w:lineRule="exact"/>
        <w:ind w:firstLine="300" w:firstLineChars="100"/>
        <w:outlineLvl w:val="0"/>
        <w:rPr>
          <w:rFonts w:ascii="仿宋" w:hAnsi="仿宋" w:eastAsia="仿宋" w:cs="仿宋"/>
          <w:sz w:val="30"/>
          <w:szCs w:val="30"/>
        </w:rPr>
      </w:pPr>
      <w:r>
        <w:rPr>
          <w:rFonts w:hint="eastAsia" w:ascii="仿宋" w:hAnsi="仿宋" w:eastAsia="仿宋" w:cs="仿宋"/>
          <w:sz w:val="30"/>
          <w:szCs w:val="30"/>
          <w:shd w:val="clear" w:color="auto" w:fill="FFFFFF"/>
        </w:rPr>
        <w:t>（10）</w:t>
      </w:r>
      <w:r>
        <w:rPr>
          <w:rFonts w:hint="eastAsia" w:ascii="仿宋" w:hAnsi="仿宋" w:eastAsia="仿宋" w:cs="仿宋"/>
          <w:sz w:val="30"/>
          <w:szCs w:val="30"/>
        </w:rPr>
        <w:t>湖南省财政厅关于印发《湖南省省级预算支出绩效运行监控管理办法》的通知（湘财绩〔2021〕9号）；</w:t>
      </w:r>
    </w:p>
    <w:p>
      <w:pPr>
        <w:spacing w:line="560" w:lineRule="exact"/>
        <w:ind w:firstLine="300" w:firstLineChars="100"/>
        <w:outlineLvl w:val="0"/>
        <w:rPr>
          <w:rFonts w:ascii="仿宋" w:hAnsi="仿宋" w:eastAsia="仿宋" w:cs="仿宋"/>
          <w:sz w:val="30"/>
          <w:szCs w:val="30"/>
        </w:rPr>
      </w:pPr>
      <w:r>
        <w:rPr>
          <w:rFonts w:hint="eastAsia" w:ascii="仿宋" w:hAnsi="仿宋" w:eastAsia="仿宋" w:cs="仿宋"/>
          <w:sz w:val="30"/>
          <w:szCs w:val="30"/>
        </w:rPr>
        <w:t>（11）邵阳市财政局《关于开展2021年度污染防治专项资金绩效评价工作的通知》（邵财绩〔2022〕3号）；</w:t>
      </w:r>
    </w:p>
    <w:p>
      <w:pPr>
        <w:spacing w:line="560" w:lineRule="exact"/>
        <w:ind w:firstLine="300" w:firstLineChars="100"/>
        <w:outlineLvl w:val="0"/>
        <w:rPr>
          <w:rFonts w:ascii="仿宋" w:hAnsi="仿宋" w:eastAsia="仿宋" w:cs="仿宋"/>
          <w:b/>
          <w:bCs/>
          <w:sz w:val="32"/>
          <w:szCs w:val="32"/>
        </w:rPr>
      </w:pPr>
      <w:r>
        <w:rPr>
          <w:rFonts w:hint="eastAsia" w:ascii="仿宋" w:hAnsi="仿宋" w:eastAsia="仿宋" w:cs="仿宋"/>
          <w:sz w:val="30"/>
          <w:szCs w:val="30"/>
          <w:shd w:val="clear" w:color="auto" w:fill="FFFFFF"/>
        </w:rPr>
        <w:t>（12）行政事业单位会计制度、行业管理相关法规、政策等；</w:t>
      </w:r>
    </w:p>
    <w:p>
      <w:pPr>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三、项目基本情况</w:t>
      </w:r>
    </w:p>
    <w:p>
      <w:pPr>
        <w:numPr>
          <w:ilvl w:val="0"/>
          <w:numId w:val="2"/>
        </w:numPr>
        <w:tabs>
          <w:tab w:val="left" w:pos="519"/>
        </w:tabs>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整体项目涵盖的具体实施单位</w:t>
      </w:r>
    </w:p>
    <w:p>
      <w:pPr>
        <w:spacing w:line="560" w:lineRule="exact"/>
        <w:ind w:firstLine="600" w:firstLineChars="200"/>
        <w:rPr>
          <w:rFonts w:ascii="仿宋" w:hAnsi="仿宋" w:eastAsia="仿宋" w:cs="仿宋"/>
          <w:color w:val="FF0000"/>
          <w:sz w:val="30"/>
          <w:szCs w:val="30"/>
        </w:rPr>
      </w:pPr>
      <w:r>
        <w:rPr>
          <w:rFonts w:hint="eastAsia" w:ascii="仿宋" w:hAnsi="仿宋" w:eastAsia="仿宋" w:cs="仿宋"/>
          <w:sz w:val="30"/>
          <w:szCs w:val="30"/>
        </w:rPr>
        <w:t>本次受邵阳市财政局委托评价的2021年度污染防治专项资金项目包括12个项目，涉及的具体实施单位包括邵阳市生态环境局，邵阳广播电视台，湖南邵阳天子湖国家湿地公园管理处，邵阳市双清区渡头桥镇人民政府，邵阳市双清区火车站乡莲荷村村民委员会，湖南省邵阳生态环境监测中心，邵阳市大祥区板桥乡人民政府，新邵县太芝庙镇人民政府，邵阳市生态环境局隆回分局，邵阳市生态环境局新邵分局，邵阳市市政工程总公司11家单位。</w:t>
      </w:r>
    </w:p>
    <w:p>
      <w:pPr>
        <w:numPr>
          <w:ilvl w:val="0"/>
          <w:numId w:val="2"/>
        </w:numPr>
        <w:spacing w:line="560" w:lineRule="exact"/>
        <w:ind w:firstLine="600" w:firstLineChars="200"/>
        <w:rPr>
          <w:rFonts w:ascii="仿宋" w:hAnsi="仿宋" w:eastAsia="仿宋" w:cs="仿宋"/>
          <w:color w:val="FF0000"/>
          <w:sz w:val="30"/>
          <w:szCs w:val="30"/>
        </w:rPr>
      </w:pPr>
      <w:r>
        <w:rPr>
          <w:rFonts w:hint="eastAsia" w:ascii="仿宋" w:hAnsi="仿宋" w:eastAsia="仿宋" w:cs="仿宋"/>
          <w:sz w:val="30"/>
          <w:szCs w:val="30"/>
        </w:rPr>
        <w:t>整体项目涵盖的具体内容</w:t>
      </w:r>
    </w:p>
    <w:p>
      <w:pPr>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本次绩效评价工作涵盖的污染防治项目资金具体内容包括邵阳市生态环境局环境治理工作经费，邵阳市生态环境系统综合行政执法制式服装和标志采购专项资金，邵阳长江经济带生态环境警示片制作经费，邵阳县天子湖国家湿地公园建设和生态保护资金，邵阳市双清区渡头桥镇邵水饮用水水源地保护资金，莲荷村环境整治资金，环境监测工作相关资金，双清区渡头桥镇邵水（大祥段）饮用水水源地环境问题整治资金，新邵县黄梨村环境整治资金，新田铺镇沙子田村、坪上镇金龙村、雀塘镇枫树村、太芝庙镇童家村农村环境保护相关项目和生态文明创建宣传活动资金，红旗渠河南岸污水管道清淤等环保工程资金。</w:t>
      </w:r>
    </w:p>
    <w:p>
      <w:pPr>
        <w:numPr>
          <w:ilvl w:val="0"/>
          <w:numId w:val="2"/>
        </w:num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整体项目资金预算及拨付情况</w:t>
      </w:r>
    </w:p>
    <w:p>
      <w:pPr>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年初，该整体项目预算资金合计人民币34,920,300.00元，邵阳市财政局实际拨付的该项目专项资金为34,920,300.00元，详细资金拨付情况汇总列表如下：</w:t>
      </w:r>
    </w:p>
    <w:p>
      <w:pPr>
        <w:ind w:firstLine="600" w:firstLineChars="200"/>
        <w:jc w:val="right"/>
        <w:rPr>
          <w:rFonts w:ascii="仿宋" w:hAnsi="仿宋" w:eastAsia="仿宋" w:cs="仿宋"/>
          <w:color w:val="535353"/>
          <w:kern w:val="0"/>
          <w:szCs w:val="21"/>
        </w:rPr>
      </w:pPr>
      <w:r>
        <w:rPr>
          <w:rFonts w:hint="eastAsia" w:ascii="仿宋" w:hAnsi="仿宋" w:eastAsia="仿宋" w:cs="仿宋"/>
          <w:color w:val="535353"/>
          <w:kern w:val="0"/>
          <w:sz w:val="30"/>
          <w:szCs w:val="30"/>
        </w:rPr>
        <w:t xml:space="preserve">污染防治专项资金拨付情况一览表    </w:t>
      </w:r>
      <w:r>
        <w:rPr>
          <w:rFonts w:hint="eastAsia" w:ascii="仿宋" w:hAnsi="仿宋" w:eastAsia="仿宋" w:cs="仿宋"/>
          <w:color w:val="535353"/>
          <w:kern w:val="0"/>
          <w:szCs w:val="21"/>
        </w:rPr>
        <w:t>单位：人民币元</w:t>
      </w:r>
    </w:p>
    <w:tbl>
      <w:tblPr>
        <w:tblStyle w:val="6"/>
        <w:tblW w:w="8334" w:type="dxa"/>
        <w:tblInd w:w="93" w:type="dxa"/>
        <w:tblLayout w:type="fixed"/>
        <w:tblCellMar>
          <w:top w:w="0" w:type="dxa"/>
          <w:left w:w="108" w:type="dxa"/>
          <w:bottom w:w="0" w:type="dxa"/>
          <w:right w:w="108" w:type="dxa"/>
        </w:tblCellMar>
      </w:tblPr>
      <w:tblGrid>
        <w:gridCol w:w="4311"/>
        <w:gridCol w:w="4023"/>
      </w:tblGrid>
      <w:tr>
        <w:tblPrEx>
          <w:tblCellMar>
            <w:top w:w="0" w:type="dxa"/>
            <w:left w:w="108" w:type="dxa"/>
            <w:bottom w:w="0" w:type="dxa"/>
            <w:right w:w="108" w:type="dxa"/>
          </w:tblCellMar>
        </w:tblPrEx>
        <w:trPr>
          <w:trHeight w:val="480" w:hRule="atLeast"/>
        </w:trPr>
        <w:tc>
          <w:tcPr>
            <w:tcW w:w="4311" w:type="dxa"/>
            <w:tcBorders>
              <w:top w:val="double"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kern w:val="0"/>
                <w:szCs w:val="21"/>
              </w:rPr>
            </w:pPr>
            <w:r>
              <w:rPr>
                <w:rFonts w:hint="eastAsia" w:ascii="仿宋" w:hAnsi="仿宋" w:eastAsia="仿宋" w:cs="仿宋"/>
                <w:b/>
                <w:bCs/>
                <w:color w:val="000000"/>
                <w:kern w:val="0"/>
                <w:szCs w:val="21"/>
              </w:rPr>
              <w:t>单位名称</w:t>
            </w:r>
          </w:p>
        </w:tc>
        <w:tc>
          <w:tcPr>
            <w:tcW w:w="4023"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color w:val="000000"/>
                <w:kern w:val="0"/>
                <w:szCs w:val="21"/>
              </w:rPr>
            </w:pPr>
            <w:r>
              <w:rPr>
                <w:rFonts w:hint="eastAsia" w:ascii="仿宋" w:hAnsi="仿宋" w:eastAsia="仿宋" w:cs="仿宋"/>
                <w:b/>
                <w:bCs/>
                <w:color w:val="000000"/>
                <w:kern w:val="0"/>
                <w:szCs w:val="21"/>
              </w:rPr>
              <w:t>拨付金额</w:t>
            </w:r>
          </w:p>
        </w:tc>
      </w:tr>
      <w:tr>
        <w:tblPrEx>
          <w:tblCellMar>
            <w:top w:w="0" w:type="dxa"/>
            <w:left w:w="108" w:type="dxa"/>
            <w:bottom w:w="0" w:type="dxa"/>
            <w:right w:w="108" w:type="dxa"/>
          </w:tblCellMar>
        </w:tblPrEx>
        <w:trPr>
          <w:trHeight w:val="480" w:hRule="atLeast"/>
        </w:trPr>
        <w:tc>
          <w:tcPr>
            <w:tcW w:w="4311" w:type="dxa"/>
            <w:tcBorders>
              <w:top w:val="single"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1、邵阳市生态环境局</w:t>
            </w:r>
          </w:p>
        </w:tc>
        <w:tc>
          <w:tcPr>
            <w:tcW w:w="4023"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2、邵阳广播电视台</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600,000.00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3、</w:t>
            </w:r>
            <w:r>
              <w:rPr>
                <w:rFonts w:hint="eastAsia" w:ascii="仿宋" w:hAnsi="仿宋" w:eastAsia="仿宋" w:cs="仿宋"/>
                <w:szCs w:val="21"/>
              </w:rPr>
              <w:t>湖南邵阳天子湖国家湿地公园管理处</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4、</w:t>
            </w:r>
            <w:r>
              <w:rPr>
                <w:rFonts w:hint="eastAsia" w:ascii="仿宋" w:hAnsi="仿宋" w:eastAsia="仿宋" w:cs="仿宋"/>
                <w:szCs w:val="21"/>
              </w:rPr>
              <w:t>邵阳市双清区渡头桥镇人民政府</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3,000,000.00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5、</w:t>
            </w:r>
            <w:r>
              <w:rPr>
                <w:rFonts w:hint="eastAsia" w:ascii="仿宋" w:hAnsi="仿宋" w:eastAsia="仿宋" w:cs="仿宋"/>
                <w:szCs w:val="21"/>
              </w:rPr>
              <w:t>邵阳市双清区火车站乡莲荷村村民委员会</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250,000.00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6、邵阳市生态环境局</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2,270,300.00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7、</w:t>
            </w:r>
            <w:r>
              <w:rPr>
                <w:rFonts w:hint="eastAsia" w:ascii="仿宋" w:hAnsi="仿宋" w:eastAsia="仿宋" w:cs="仿宋"/>
                <w:szCs w:val="21"/>
              </w:rPr>
              <w:t>湖南省邵阳生态环境监测中心</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2,800,000.00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8、</w:t>
            </w:r>
            <w:r>
              <w:rPr>
                <w:rFonts w:hint="eastAsia" w:ascii="仿宋" w:hAnsi="仿宋" w:eastAsia="仿宋" w:cs="仿宋"/>
                <w:szCs w:val="21"/>
              </w:rPr>
              <w:t>邵阳市大祥区板桥乡人民政府</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1,800,000.00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9、</w:t>
            </w:r>
            <w:r>
              <w:rPr>
                <w:rFonts w:hint="eastAsia" w:ascii="仿宋" w:hAnsi="仿宋" w:eastAsia="仿宋" w:cs="仿宋"/>
                <w:szCs w:val="21"/>
              </w:rPr>
              <w:t>邵阳市大祥区板桥乡人民政府</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10、</w:t>
            </w:r>
            <w:r>
              <w:rPr>
                <w:rFonts w:hint="eastAsia" w:ascii="仿宋" w:hAnsi="仿宋" w:eastAsia="仿宋" w:cs="仿宋"/>
                <w:szCs w:val="21"/>
              </w:rPr>
              <w:t>新邵县太芝庙镇人民政府</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400,000.00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11、邵阳市生态环境局隆回分局</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600,000.00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12、邵阳市生态环境局新邵分局</w:t>
            </w:r>
          </w:p>
        </w:tc>
        <w:tc>
          <w:tcPr>
            <w:tcW w:w="4023"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1,200,000.00 </w:t>
            </w:r>
          </w:p>
        </w:tc>
      </w:tr>
      <w:tr>
        <w:tblPrEx>
          <w:tblCellMar>
            <w:top w:w="0" w:type="dxa"/>
            <w:left w:w="108" w:type="dxa"/>
            <w:bottom w:w="0" w:type="dxa"/>
            <w:right w:w="108" w:type="dxa"/>
          </w:tblCellMar>
        </w:tblPrEx>
        <w:trPr>
          <w:trHeight w:val="480" w:hRule="atLeast"/>
        </w:trPr>
        <w:tc>
          <w:tcPr>
            <w:tcW w:w="4311" w:type="dxa"/>
            <w:tcBorders>
              <w:top w:val="dotted"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13、</w:t>
            </w:r>
            <w:r>
              <w:rPr>
                <w:rFonts w:hint="eastAsia" w:ascii="仿宋" w:hAnsi="仿宋" w:eastAsia="仿宋" w:cs="仿宋"/>
                <w:szCs w:val="21"/>
              </w:rPr>
              <w:t>邵阳市市政工程总公司</w:t>
            </w:r>
          </w:p>
        </w:tc>
        <w:tc>
          <w:tcPr>
            <w:tcW w:w="4023"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 </w:t>
            </w:r>
          </w:p>
        </w:tc>
      </w:tr>
      <w:tr>
        <w:tblPrEx>
          <w:tblCellMar>
            <w:top w:w="0" w:type="dxa"/>
            <w:left w:w="108" w:type="dxa"/>
            <w:bottom w:w="0" w:type="dxa"/>
            <w:right w:w="108" w:type="dxa"/>
          </w:tblCellMar>
        </w:tblPrEx>
        <w:trPr>
          <w:trHeight w:val="480" w:hRule="atLeast"/>
        </w:trPr>
        <w:tc>
          <w:tcPr>
            <w:tcW w:w="4311"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szCs w:val="21"/>
              </w:rPr>
            </w:pPr>
            <w:r>
              <w:rPr>
                <w:rFonts w:hint="eastAsia" w:ascii="仿宋" w:hAnsi="仿宋" w:eastAsia="仿宋" w:cs="仿宋"/>
                <w:b/>
                <w:bCs/>
                <w:kern w:val="0"/>
                <w:szCs w:val="21"/>
              </w:rPr>
              <w:t>合计</w:t>
            </w:r>
          </w:p>
        </w:tc>
        <w:tc>
          <w:tcPr>
            <w:tcW w:w="4023"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szCs w:val="21"/>
              </w:rPr>
            </w:pPr>
            <w:r>
              <w:rPr>
                <w:rFonts w:hint="eastAsia" w:ascii="仿宋" w:hAnsi="仿宋" w:eastAsia="仿宋" w:cs="仿宋"/>
                <w:b/>
                <w:bCs/>
                <w:kern w:val="0"/>
                <w:szCs w:val="21"/>
              </w:rPr>
              <w:t xml:space="preserve">34,920,300.00 </w:t>
            </w:r>
          </w:p>
        </w:tc>
      </w:tr>
    </w:tbl>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四、项目资金使用情况</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sz w:val="30"/>
          <w:szCs w:val="30"/>
        </w:rPr>
        <w:t>截至2022年7月31日止，邵阳市财政局累计拨付给项目实施单位污染防治项目专项资金总计人民币</w:t>
      </w:r>
      <w:r>
        <w:rPr>
          <w:rFonts w:hint="eastAsia" w:ascii="仿宋" w:hAnsi="仿宋" w:eastAsia="仿宋" w:cs="仿宋"/>
          <w:color w:val="000000"/>
          <w:kern w:val="0"/>
          <w:sz w:val="30"/>
          <w:szCs w:val="30"/>
        </w:rPr>
        <w:t>34,920,300.00元，整体项目各具体实施单位累计实际使用的污染防治项目资金总计人民币21,506,752.65元，详细情况汇总列表如下：</w:t>
      </w:r>
    </w:p>
    <w:p>
      <w:pPr>
        <w:spacing w:line="560" w:lineRule="exact"/>
        <w:ind w:firstLine="600" w:firstLineChars="200"/>
        <w:jc w:val="righ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污染防治项目资金实际支付情况汇总表   </w:t>
      </w:r>
      <w:r>
        <w:rPr>
          <w:rFonts w:hint="eastAsia" w:ascii="仿宋" w:hAnsi="仿宋" w:eastAsia="仿宋" w:cs="仿宋"/>
          <w:color w:val="000000"/>
          <w:kern w:val="0"/>
          <w:szCs w:val="21"/>
        </w:rPr>
        <w:t xml:space="preserve"> 单位：人民币元</w:t>
      </w:r>
    </w:p>
    <w:tbl>
      <w:tblPr>
        <w:tblStyle w:val="6"/>
        <w:tblW w:w="8334" w:type="dxa"/>
        <w:tblInd w:w="93" w:type="dxa"/>
        <w:tblLayout w:type="fixed"/>
        <w:tblCellMar>
          <w:top w:w="0" w:type="dxa"/>
          <w:left w:w="108" w:type="dxa"/>
          <w:bottom w:w="0" w:type="dxa"/>
          <w:right w:w="108" w:type="dxa"/>
        </w:tblCellMar>
      </w:tblPr>
      <w:tblGrid>
        <w:gridCol w:w="4243"/>
        <w:gridCol w:w="2031"/>
        <w:gridCol w:w="2060"/>
      </w:tblGrid>
      <w:tr>
        <w:tblPrEx>
          <w:tblCellMar>
            <w:top w:w="0" w:type="dxa"/>
            <w:left w:w="108" w:type="dxa"/>
            <w:bottom w:w="0" w:type="dxa"/>
            <w:right w:w="108" w:type="dxa"/>
          </w:tblCellMar>
        </w:tblPrEx>
        <w:trPr>
          <w:trHeight w:val="480" w:hRule="atLeast"/>
        </w:trPr>
        <w:tc>
          <w:tcPr>
            <w:tcW w:w="4243" w:type="dxa"/>
            <w:tcBorders>
              <w:top w:val="double"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项目名称</w:t>
            </w:r>
          </w:p>
        </w:tc>
        <w:tc>
          <w:tcPr>
            <w:tcW w:w="2031" w:type="dxa"/>
            <w:tcBorders>
              <w:top w:val="double" w:color="000000" w:sz="4" w:space="0"/>
              <w:left w:val="dotted" w:color="000000" w:sz="4" w:space="0"/>
              <w:bottom w:val="single" w:color="000000" w:sz="4" w:space="0"/>
              <w:right w:val="dotted" w:color="000000" w:sz="4" w:space="0"/>
            </w:tcBorders>
            <w:shd w:val="clear" w:color="auto" w:fill="auto"/>
            <w:noWrap/>
            <w:vAlign w:val="center"/>
          </w:tcPr>
          <w:p>
            <w:pPr>
              <w:widowControl/>
              <w:jc w:val="right"/>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预算金额</w:t>
            </w:r>
          </w:p>
        </w:tc>
        <w:tc>
          <w:tcPr>
            <w:tcW w:w="2060"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实际支付金额</w:t>
            </w:r>
          </w:p>
        </w:tc>
      </w:tr>
      <w:tr>
        <w:tblPrEx>
          <w:tblCellMar>
            <w:top w:w="0" w:type="dxa"/>
            <w:left w:w="108" w:type="dxa"/>
            <w:bottom w:w="0" w:type="dxa"/>
            <w:right w:w="108" w:type="dxa"/>
          </w:tblCellMar>
        </w:tblPrEx>
        <w:trPr>
          <w:trHeight w:val="480" w:hRule="atLeast"/>
        </w:trPr>
        <w:tc>
          <w:tcPr>
            <w:tcW w:w="4243" w:type="dxa"/>
            <w:tcBorders>
              <w:top w:val="single"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1、邵阳市生态环境局</w:t>
            </w:r>
          </w:p>
        </w:tc>
        <w:tc>
          <w:tcPr>
            <w:tcW w:w="2031" w:type="dxa"/>
            <w:tcBorders>
              <w:top w:val="single"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10,000,000.00 </w:t>
            </w:r>
          </w:p>
        </w:tc>
        <w:tc>
          <w:tcPr>
            <w:tcW w:w="2060"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10,000,000.00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2、邵阳市生态环境局</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2,270,300.00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1,471,791.68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3、邵阳广播电视台</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600,000.00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600,000.00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4、湖南邵阳天子湖国家湿地公园管理处</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1,409,500.00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5、邵阳市双清区渡头桥镇人民政府</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3,000,000.00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3,541,064.25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6、邵阳市双清区火车站乡莲荷村村民委员会</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250,000.00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255,092.00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7、湖南省邵阳生态环境监测中心</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2,800,000.00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124,604.72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8、邵阳市大祥区板桥乡人民政府</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2,800,000.00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2,714,900.00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9、新邵县太芝庙镇人民政府</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400,000.00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0.00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10、邵阳市生态环境局隆回分局</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600,000.00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389,800.00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11、邵阳市生态环境局新邵分局</w:t>
            </w:r>
          </w:p>
        </w:tc>
        <w:tc>
          <w:tcPr>
            <w:tcW w:w="2031" w:type="dxa"/>
            <w:tcBorders>
              <w:top w:val="dotted" w:color="000000" w:sz="4" w:space="0"/>
              <w:left w:val="dotted" w:color="000000" w:sz="4" w:space="0"/>
              <w:bottom w:val="dotted"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1,200,000.00 </w:t>
            </w:r>
          </w:p>
        </w:tc>
        <w:tc>
          <w:tcPr>
            <w:tcW w:w="2060"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0.00 </w:t>
            </w:r>
          </w:p>
        </w:tc>
      </w:tr>
      <w:tr>
        <w:tblPrEx>
          <w:tblCellMar>
            <w:top w:w="0" w:type="dxa"/>
            <w:left w:w="108" w:type="dxa"/>
            <w:bottom w:w="0" w:type="dxa"/>
            <w:right w:w="108" w:type="dxa"/>
          </w:tblCellMar>
        </w:tblPrEx>
        <w:trPr>
          <w:trHeight w:val="480" w:hRule="atLeast"/>
        </w:trPr>
        <w:tc>
          <w:tcPr>
            <w:tcW w:w="4243" w:type="dxa"/>
            <w:tcBorders>
              <w:top w:val="dotted"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Cs w:val="21"/>
              </w:rPr>
            </w:pPr>
            <w:r>
              <w:rPr>
                <w:rFonts w:hint="eastAsia" w:ascii="仿宋" w:hAnsi="仿宋" w:eastAsia="仿宋" w:cs="仿宋"/>
                <w:kern w:val="0"/>
                <w:szCs w:val="21"/>
              </w:rPr>
              <w:t>12、邵阳市市政工程总公司</w:t>
            </w:r>
          </w:p>
        </w:tc>
        <w:tc>
          <w:tcPr>
            <w:tcW w:w="2031" w:type="dxa"/>
            <w:tcBorders>
              <w:top w:val="dotted" w:color="000000" w:sz="4" w:space="0"/>
              <w:left w:val="dotted" w:color="000000" w:sz="4" w:space="0"/>
              <w:bottom w:val="single" w:color="000000" w:sz="4" w:space="0"/>
              <w:right w:val="dotted" w:color="000000" w:sz="4" w:space="0"/>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 </w:t>
            </w:r>
          </w:p>
        </w:tc>
        <w:tc>
          <w:tcPr>
            <w:tcW w:w="2060"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szCs w:val="21"/>
              </w:rPr>
            </w:pPr>
            <w:r>
              <w:rPr>
                <w:rFonts w:hint="eastAsia" w:ascii="仿宋" w:hAnsi="仿宋" w:eastAsia="仿宋" w:cs="仿宋"/>
                <w:kern w:val="0"/>
                <w:szCs w:val="21"/>
              </w:rPr>
              <w:t xml:space="preserve">1,000,000.00 </w:t>
            </w:r>
          </w:p>
        </w:tc>
      </w:tr>
      <w:tr>
        <w:tblPrEx>
          <w:tblCellMar>
            <w:top w:w="0" w:type="dxa"/>
            <w:left w:w="108" w:type="dxa"/>
            <w:bottom w:w="0" w:type="dxa"/>
            <w:right w:w="108" w:type="dxa"/>
          </w:tblCellMar>
        </w:tblPrEx>
        <w:trPr>
          <w:trHeight w:val="480" w:hRule="atLeast"/>
        </w:trPr>
        <w:tc>
          <w:tcPr>
            <w:tcW w:w="4243"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Cs w:val="21"/>
              </w:rPr>
            </w:pPr>
            <w:r>
              <w:rPr>
                <w:rFonts w:hint="eastAsia" w:ascii="仿宋" w:hAnsi="仿宋" w:eastAsia="仿宋" w:cs="仿宋"/>
                <w:b/>
                <w:bCs/>
                <w:color w:val="000000"/>
                <w:kern w:val="0"/>
                <w:szCs w:val="21"/>
              </w:rPr>
              <w:t>合计</w:t>
            </w:r>
          </w:p>
        </w:tc>
        <w:tc>
          <w:tcPr>
            <w:tcW w:w="2031" w:type="dxa"/>
            <w:tcBorders>
              <w:top w:val="single" w:color="000000" w:sz="4" w:space="0"/>
              <w:left w:val="dotted" w:color="000000" w:sz="4" w:space="0"/>
              <w:bottom w:val="double" w:color="000000" w:sz="4" w:space="0"/>
              <w:right w:val="dotted" w:color="000000" w:sz="4" w:space="0"/>
            </w:tcBorders>
            <w:shd w:val="clear" w:color="auto" w:fill="auto"/>
            <w:noWrap/>
            <w:vAlign w:val="center"/>
          </w:tcPr>
          <w:p>
            <w:pPr>
              <w:widowControl/>
              <w:jc w:val="right"/>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 xml:space="preserve">34,920,300.00 </w:t>
            </w:r>
          </w:p>
        </w:tc>
        <w:tc>
          <w:tcPr>
            <w:tcW w:w="2060"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 xml:space="preserve">21,506,752.65 </w:t>
            </w:r>
          </w:p>
        </w:tc>
      </w:tr>
    </w:tbl>
    <w:p>
      <w:pPr>
        <w:spacing w:line="560" w:lineRule="exact"/>
        <w:ind w:firstLine="560" w:firstLineChars="200"/>
        <w:jc w:val="left"/>
        <w:rPr>
          <w:rFonts w:ascii="仿宋" w:hAnsi="仿宋" w:eastAsia="仿宋" w:cs="仿宋"/>
          <w:sz w:val="30"/>
          <w:szCs w:val="30"/>
        </w:rPr>
      </w:pPr>
      <w:r>
        <w:rPr>
          <w:rFonts w:hint="eastAsia" w:ascii="仿宋" w:hAnsi="仿宋" w:eastAsia="仿宋" w:cs="仿宋"/>
          <w:sz w:val="28"/>
          <w:szCs w:val="28"/>
        </w:rPr>
        <w:t>（一）</w:t>
      </w:r>
      <w:r>
        <w:rPr>
          <w:rFonts w:hint="eastAsia" w:ascii="仿宋" w:hAnsi="仿宋" w:eastAsia="仿宋" w:cs="仿宋"/>
          <w:kern w:val="0"/>
          <w:sz w:val="30"/>
          <w:szCs w:val="30"/>
        </w:rPr>
        <w:t>邵阳市生态环境局实施的“</w:t>
      </w:r>
      <w:r>
        <w:rPr>
          <w:rFonts w:hint="eastAsia" w:ascii="仿宋" w:hAnsi="仿宋" w:eastAsia="仿宋" w:cs="仿宋"/>
          <w:sz w:val="30"/>
          <w:szCs w:val="30"/>
        </w:rPr>
        <w:t>环境治理”项目经费，年初预算资金人民币10,000,000.00元，截至报告日止，已支付人民币10,000,000.00元，包括办公费、</w:t>
      </w:r>
      <w:r>
        <w:rPr>
          <w:rFonts w:hint="eastAsia" w:ascii="仿宋" w:hAnsi="仿宋" w:eastAsia="仿宋" w:cs="仿宋"/>
          <w:color w:val="000000"/>
          <w:kern w:val="0"/>
          <w:sz w:val="30"/>
          <w:szCs w:val="30"/>
        </w:rPr>
        <w:t>委托业务费、专用设备费用等，该项目专项资金</w:t>
      </w:r>
      <w:r>
        <w:rPr>
          <w:rFonts w:hint="eastAsia" w:ascii="仿宋" w:hAnsi="仿宋" w:eastAsia="仿宋" w:cs="仿宋"/>
          <w:sz w:val="30"/>
          <w:szCs w:val="30"/>
        </w:rPr>
        <w:t xml:space="preserve">具体使用情况汇总列表如下：          </w:t>
      </w:r>
    </w:p>
    <w:p>
      <w:pPr>
        <w:spacing w:line="560" w:lineRule="exact"/>
        <w:jc w:val="right"/>
        <w:rPr>
          <w:rFonts w:ascii="仿宋" w:hAnsi="仿宋" w:eastAsia="仿宋" w:cs="仿宋"/>
          <w:sz w:val="30"/>
          <w:szCs w:val="30"/>
        </w:rPr>
      </w:pPr>
      <w:r>
        <w:rPr>
          <w:rFonts w:hint="eastAsia" w:ascii="仿宋" w:hAnsi="仿宋" w:eastAsia="仿宋" w:cs="仿宋"/>
          <w:sz w:val="30"/>
          <w:szCs w:val="30"/>
        </w:rPr>
        <w:t xml:space="preserve">“环境治理”项目专项资金支出汇总表   </w:t>
      </w:r>
      <w:r>
        <w:rPr>
          <w:rFonts w:hint="eastAsia" w:ascii="仿宋" w:hAnsi="仿宋" w:eastAsia="仿宋" w:cs="仿宋"/>
          <w:szCs w:val="21"/>
        </w:rPr>
        <w:t>单位：人民币元</w:t>
      </w:r>
    </w:p>
    <w:tbl>
      <w:tblPr>
        <w:tblStyle w:val="6"/>
        <w:tblW w:w="8334" w:type="dxa"/>
        <w:tblInd w:w="93" w:type="dxa"/>
        <w:tblLayout w:type="fixed"/>
        <w:tblCellMar>
          <w:top w:w="0" w:type="dxa"/>
          <w:left w:w="108" w:type="dxa"/>
          <w:bottom w:w="0" w:type="dxa"/>
          <w:right w:w="108" w:type="dxa"/>
        </w:tblCellMar>
      </w:tblPr>
      <w:tblGrid>
        <w:gridCol w:w="4406"/>
        <w:gridCol w:w="3928"/>
      </w:tblGrid>
      <w:tr>
        <w:tblPrEx>
          <w:tblCellMar>
            <w:top w:w="0" w:type="dxa"/>
            <w:left w:w="108" w:type="dxa"/>
            <w:bottom w:w="0" w:type="dxa"/>
            <w:right w:w="108" w:type="dxa"/>
          </w:tblCellMar>
        </w:tblPrEx>
        <w:trPr>
          <w:trHeight w:val="360" w:hRule="atLeast"/>
        </w:trPr>
        <w:tc>
          <w:tcPr>
            <w:tcW w:w="4406" w:type="dxa"/>
            <w:tcBorders>
              <w:top w:val="double"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kern w:val="0"/>
                <w:sz w:val="20"/>
                <w:szCs w:val="20"/>
              </w:rPr>
            </w:pPr>
            <w:r>
              <w:rPr>
                <w:rFonts w:hint="eastAsia" w:ascii="仿宋" w:hAnsi="仿宋" w:eastAsia="仿宋" w:cs="仿宋"/>
                <w:b/>
                <w:bCs/>
                <w:color w:val="000000"/>
                <w:kern w:val="0"/>
                <w:sz w:val="20"/>
                <w:szCs w:val="20"/>
              </w:rPr>
              <w:t>项目名称及编号</w:t>
            </w:r>
          </w:p>
        </w:tc>
        <w:tc>
          <w:tcPr>
            <w:tcW w:w="3928"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color w:val="000000"/>
                <w:kern w:val="0"/>
                <w:sz w:val="20"/>
                <w:szCs w:val="20"/>
              </w:rPr>
            </w:pPr>
            <w:r>
              <w:rPr>
                <w:rFonts w:hint="eastAsia" w:ascii="仿宋" w:hAnsi="仿宋" w:eastAsia="仿宋" w:cs="仿宋"/>
                <w:b/>
                <w:bCs/>
                <w:color w:val="000000"/>
                <w:kern w:val="0"/>
                <w:sz w:val="20"/>
                <w:szCs w:val="20"/>
              </w:rPr>
              <w:t>发生金额</w:t>
            </w:r>
          </w:p>
        </w:tc>
      </w:tr>
      <w:tr>
        <w:tblPrEx>
          <w:tblCellMar>
            <w:top w:w="0" w:type="dxa"/>
            <w:left w:w="108" w:type="dxa"/>
            <w:bottom w:w="0" w:type="dxa"/>
            <w:right w:w="108" w:type="dxa"/>
          </w:tblCellMar>
        </w:tblPrEx>
        <w:trPr>
          <w:trHeight w:val="360" w:hRule="atLeast"/>
        </w:trPr>
        <w:tc>
          <w:tcPr>
            <w:tcW w:w="4406" w:type="dxa"/>
            <w:tcBorders>
              <w:top w:val="single"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1、办公费</w:t>
            </w:r>
          </w:p>
        </w:tc>
        <w:tc>
          <w:tcPr>
            <w:tcW w:w="3928"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349,657.94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2、印刷费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263,509.59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3、咨询费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270,400.00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4、水费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929.04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5、电费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30,588.74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6、邮电费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291,366.00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7、差旅费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731,281.86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8、维修费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474,793.52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9、租赁费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30,200.00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10、会议费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6,097.00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11、公务接待费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94,559.00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12、委托业务费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4,499,699.00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13、劳务费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96,000.00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14、公务用车运行维护费</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47,489.07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15、其他交通费用</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382,788.42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16、其他商品和服务支出</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728,403.08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17、国外债务付息</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106,576.94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18、房屋建筑物购建</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4,950.00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19、办公设备</w:t>
            </w:r>
          </w:p>
        </w:tc>
        <w:tc>
          <w:tcPr>
            <w:tcW w:w="392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496,485.00 </w:t>
            </w:r>
          </w:p>
        </w:tc>
      </w:tr>
      <w:tr>
        <w:tblPrEx>
          <w:tblCellMar>
            <w:top w:w="0" w:type="dxa"/>
            <w:left w:w="108" w:type="dxa"/>
            <w:bottom w:w="0" w:type="dxa"/>
            <w:right w:w="108" w:type="dxa"/>
          </w:tblCellMar>
        </w:tblPrEx>
        <w:trPr>
          <w:trHeight w:val="360" w:hRule="atLeast"/>
        </w:trPr>
        <w:tc>
          <w:tcPr>
            <w:tcW w:w="4406" w:type="dxa"/>
            <w:tcBorders>
              <w:top w:val="dotted"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20、专用设备</w:t>
            </w:r>
          </w:p>
        </w:tc>
        <w:tc>
          <w:tcPr>
            <w:tcW w:w="3928"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1,094,225.80 </w:t>
            </w:r>
          </w:p>
        </w:tc>
      </w:tr>
      <w:tr>
        <w:tblPrEx>
          <w:tblCellMar>
            <w:top w:w="0" w:type="dxa"/>
            <w:left w:w="108" w:type="dxa"/>
            <w:bottom w:w="0" w:type="dxa"/>
            <w:right w:w="108" w:type="dxa"/>
          </w:tblCellMar>
        </w:tblPrEx>
        <w:trPr>
          <w:trHeight w:val="360" w:hRule="atLeast"/>
        </w:trPr>
        <w:tc>
          <w:tcPr>
            <w:tcW w:w="4406"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合计</w:t>
            </w:r>
          </w:p>
        </w:tc>
        <w:tc>
          <w:tcPr>
            <w:tcW w:w="3928"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 xml:space="preserve">10,000,000.00 </w:t>
            </w:r>
          </w:p>
        </w:tc>
      </w:tr>
    </w:tbl>
    <w:p>
      <w:pPr>
        <w:spacing w:line="560" w:lineRule="exact"/>
        <w:ind w:firstLine="560" w:firstLineChars="200"/>
        <w:jc w:val="left"/>
        <w:rPr>
          <w:rFonts w:ascii="仿宋" w:hAnsi="仿宋" w:eastAsia="仿宋" w:cs="仿宋"/>
          <w:color w:val="000000"/>
          <w:kern w:val="0"/>
          <w:sz w:val="28"/>
          <w:szCs w:val="28"/>
        </w:rPr>
      </w:pPr>
      <w:r>
        <w:rPr>
          <w:rFonts w:hint="eastAsia" w:ascii="仿宋" w:hAnsi="仿宋" w:eastAsia="仿宋" w:cs="仿宋"/>
          <w:kern w:val="0"/>
          <w:sz w:val="28"/>
          <w:szCs w:val="28"/>
        </w:rPr>
        <w:t>注：</w:t>
      </w:r>
      <w:r>
        <w:rPr>
          <w:rFonts w:hint="eastAsia" w:ascii="仿宋" w:hAnsi="仿宋" w:eastAsia="仿宋" w:cs="仿宋"/>
          <w:color w:val="000000"/>
          <w:kern w:val="0"/>
          <w:sz w:val="28"/>
          <w:szCs w:val="28"/>
        </w:rPr>
        <w:t>委托业务费，包括资江流域邵阳段锑污染源调查报告费用，中央环保督查信访交办件监督性检测费，水源保护区基础信息和构建物清查费用，法律服务费，邵阳市重点监管单位周边土壤监测技术服务费等，共计40笔，金额合计4,499,699.00元。</w:t>
      </w:r>
    </w:p>
    <w:p>
      <w:pPr>
        <w:spacing w:line="560" w:lineRule="exact"/>
        <w:ind w:firstLine="56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28"/>
          <w:szCs w:val="28"/>
        </w:rPr>
        <w:t>专用设备，包括移动执法包，移动执法终端，现场执法记录仪，测距仪，流量计，生态环境专用无人机，红外摄像机，快检试计包，粉尘快速测定仪，便携式水污染物监测设备，恶臭监测仪等，金额合计</w:t>
      </w:r>
      <w:r>
        <w:rPr>
          <w:rFonts w:hint="eastAsia" w:ascii="仿宋" w:hAnsi="仿宋" w:eastAsia="仿宋" w:cs="仿宋"/>
          <w:color w:val="000000"/>
          <w:kern w:val="0"/>
          <w:sz w:val="30"/>
          <w:szCs w:val="30"/>
        </w:rPr>
        <w:t>1,094,225.80元。（2021年12月17日，经湖南创迪工程管理咨询有限公司询价评定广州星宸智能科技有限公司为成交供应商，邵阳市生态环境局于2021年12月21日与广州星宸智能科技有限公司签订政府采购合同协议书）。</w:t>
      </w:r>
    </w:p>
    <w:p>
      <w:pPr>
        <w:numPr>
          <w:ilvl w:val="0"/>
          <w:numId w:val="3"/>
        </w:numPr>
        <w:spacing w:line="560" w:lineRule="exact"/>
        <w:ind w:firstLine="600" w:firstLineChars="200"/>
        <w:jc w:val="left"/>
        <w:rPr>
          <w:rFonts w:ascii="仿宋" w:hAnsi="仿宋" w:eastAsia="仿宋" w:cs="仿宋"/>
          <w:sz w:val="30"/>
          <w:szCs w:val="30"/>
        </w:rPr>
      </w:pPr>
      <w:r>
        <w:rPr>
          <w:rFonts w:hint="eastAsia" w:ascii="仿宋" w:hAnsi="仿宋" w:eastAsia="仿宋" w:cs="仿宋"/>
          <w:kern w:val="0"/>
          <w:sz w:val="30"/>
          <w:szCs w:val="30"/>
        </w:rPr>
        <w:t>邵阳市生态环境局实施的“邵阳市生态环境系统综合行政执法制式服装和标志采购”项目，年初预算资金人民币2,270,300.00元。</w:t>
      </w:r>
      <w:r>
        <w:rPr>
          <w:rFonts w:hint="eastAsia" w:ascii="仿宋" w:hAnsi="仿宋" w:eastAsia="仿宋" w:cs="仿宋"/>
          <w:sz w:val="30"/>
          <w:szCs w:val="30"/>
        </w:rPr>
        <w:t>2021年12月1日，通过湖南格瑞工程建设集团有限公司评审委员会确认</w:t>
      </w:r>
      <w:r>
        <w:rPr>
          <w:rFonts w:hint="eastAsia" w:ascii="仿宋" w:hAnsi="仿宋" w:eastAsia="仿宋" w:cs="仿宋"/>
          <w:color w:val="000000"/>
          <w:kern w:val="0"/>
          <w:sz w:val="30"/>
          <w:szCs w:val="30"/>
        </w:rPr>
        <w:t>山东傲饰服饰有限公司为中标人</w:t>
      </w:r>
      <w:r>
        <w:rPr>
          <w:rFonts w:hint="eastAsia" w:ascii="仿宋" w:hAnsi="仿宋" w:eastAsia="仿宋" w:cs="仿宋"/>
          <w:sz w:val="30"/>
          <w:szCs w:val="30"/>
        </w:rPr>
        <w:t>，于2021年12月16日，签订政府采购合同，合同项目总金额1,282,792.40元。2021年12月17日,与</w:t>
      </w:r>
      <w:r>
        <w:rPr>
          <w:rFonts w:hint="eastAsia" w:ascii="仿宋" w:hAnsi="仿宋" w:eastAsia="仿宋" w:cs="仿宋"/>
          <w:color w:val="000000"/>
          <w:kern w:val="0"/>
          <w:sz w:val="30"/>
          <w:szCs w:val="30"/>
        </w:rPr>
        <w:t>湖南服装厂有限责任公司签订采购合同，</w:t>
      </w:r>
      <w:r>
        <w:rPr>
          <w:rFonts w:hint="eastAsia" w:ascii="仿宋" w:hAnsi="仿宋" w:eastAsia="仿宋" w:cs="仿宋"/>
          <w:sz w:val="30"/>
          <w:szCs w:val="30"/>
        </w:rPr>
        <w:t>合同总金额266,462.00元。</w:t>
      </w:r>
    </w:p>
    <w:p>
      <w:p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sz w:val="30"/>
          <w:szCs w:val="30"/>
        </w:rPr>
        <w:t>截止报告日止，已累计支付人民币</w:t>
      </w:r>
      <w:r>
        <w:rPr>
          <w:rFonts w:hint="eastAsia" w:ascii="仿宋" w:hAnsi="仿宋" w:eastAsia="仿宋" w:cs="仿宋"/>
          <w:color w:val="000000"/>
          <w:kern w:val="0"/>
          <w:sz w:val="30"/>
          <w:szCs w:val="30"/>
        </w:rPr>
        <w:t>1,471,791.68元（山东傲饰服饰有限公司</w:t>
      </w:r>
      <w:r>
        <w:rPr>
          <w:rFonts w:hint="eastAsia" w:ascii="宋体" w:hAnsi="宋体" w:eastAsia="宋体" w:cs="宋体"/>
          <w:color w:val="000000"/>
          <w:kern w:val="0"/>
          <w:sz w:val="30"/>
          <w:szCs w:val="30"/>
        </w:rPr>
        <w:t>1,218,652.78元</w:t>
      </w:r>
      <w:r>
        <w:rPr>
          <w:rFonts w:hint="eastAsia" w:ascii="仿宋" w:hAnsi="仿宋" w:eastAsia="仿宋" w:cs="仿宋"/>
          <w:color w:val="000000"/>
          <w:kern w:val="0"/>
          <w:sz w:val="30"/>
          <w:szCs w:val="30"/>
        </w:rPr>
        <w:t>、湖南服装厂有限责任公司253,138.90元），项目结余金额798,508.32 元已由邵阳市财政局于2022年6月30日收回。</w:t>
      </w:r>
    </w:p>
    <w:p>
      <w:pPr>
        <w:spacing w:line="560" w:lineRule="exact"/>
        <w:ind w:firstLine="600" w:firstLineChars="200"/>
        <w:jc w:val="left"/>
        <w:rPr>
          <w:rFonts w:ascii="仿宋" w:hAnsi="仿宋" w:eastAsia="仿宋" w:cs="仿宋"/>
          <w:kern w:val="0"/>
          <w:sz w:val="30"/>
          <w:szCs w:val="30"/>
        </w:rPr>
      </w:pPr>
      <w:r>
        <w:rPr>
          <w:rFonts w:hint="eastAsia" w:ascii="仿宋" w:hAnsi="仿宋" w:eastAsia="仿宋" w:cs="仿宋"/>
          <w:color w:val="000000"/>
          <w:kern w:val="0"/>
          <w:sz w:val="30"/>
          <w:szCs w:val="30"/>
        </w:rPr>
        <w:t>（三）</w:t>
      </w:r>
      <w:r>
        <w:rPr>
          <w:rFonts w:hint="eastAsia" w:ascii="仿宋" w:hAnsi="仿宋" w:eastAsia="仿宋" w:cs="仿宋"/>
          <w:kern w:val="0"/>
          <w:sz w:val="30"/>
          <w:szCs w:val="30"/>
        </w:rPr>
        <w:t xml:space="preserve">2021年8月24日下拨的邵阳广播电视台污染防治预算资金人民币600,000.00元，其制作的“邵阳长江经济带生态环境警示片”，共使用资金600,000.00元，其中专题片拍摄、制作费用（设备租用及损耗）350,000.00 元；工作人员外勤及交通费（题片协调及线索费用）250,000.00元。详细情况汇总列表如下：                                   </w:t>
      </w:r>
      <w:r>
        <w:rPr>
          <w:rFonts w:hint="eastAsia" w:ascii="仿宋" w:hAnsi="仿宋" w:eastAsia="仿宋" w:cs="仿宋"/>
          <w:kern w:val="0"/>
          <w:szCs w:val="21"/>
        </w:rPr>
        <w:t>单位：人民币元</w:t>
      </w:r>
      <w:r>
        <w:rPr>
          <w:rFonts w:hint="eastAsia" w:ascii="仿宋" w:hAnsi="仿宋" w:eastAsia="仿宋" w:cs="仿宋"/>
          <w:kern w:val="0"/>
          <w:sz w:val="30"/>
          <w:szCs w:val="30"/>
        </w:rPr>
        <w:t xml:space="preserve">                    </w:t>
      </w:r>
    </w:p>
    <w:tbl>
      <w:tblPr>
        <w:tblStyle w:val="6"/>
        <w:tblW w:w="8238" w:type="dxa"/>
        <w:tblInd w:w="93" w:type="dxa"/>
        <w:tblLayout w:type="fixed"/>
        <w:tblCellMar>
          <w:top w:w="0" w:type="dxa"/>
          <w:left w:w="108" w:type="dxa"/>
          <w:bottom w:w="0" w:type="dxa"/>
          <w:right w:w="108" w:type="dxa"/>
        </w:tblCellMar>
      </w:tblPr>
      <w:tblGrid>
        <w:gridCol w:w="4556"/>
        <w:gridCol w:w="3682"/>
      </w:tblGrid>
      <w:tr>
        <w:tblPrEx>
          <w:tblCellMar>
            <w:top w:w="0" w:type="dxa"/>
            <w:left w:w="108" w:type="dxa"/>
            <w:bottom w:w="0" w:type="dxa"/>
            <w:right w:w="108" w:type="dxa"/>
          </w:tblCellMar>
        </w:tblPrEx>
        <w:trPr>
          <w:trHeight w:val="360" w:hRule="atLeast"/>
        </w:trPr>
        <w:tc>
          <w:tcPr>
            <w:tcW w:w="4556" w:type="dxa"/>
            <w:tcBorders>
              <w:top w:val="double" w:color="000000" w:sz="4" w:space="0"/>
              <w:left w:val="nil"/>
              <w:bottom w:val="single" w:color="000000" w:sz="4" w:space="0"/>
              <w:right w:val="dotted" w:color="000000" w:sz="4" w:space="0"/>
            </w:tcBorders>
            <w:shd w:val="clear" w:color="auto" w:fill="auto"/>
            <w:vAlign w:val="center"/>
          </w:tcPr>
          <w:p>
            <w:pPr>
              <w:widowControl/>
              <w:jc w:val="left"/>
              <w:textAlignment w:val="center"/>
              <w:rPr>
                <w:rFonts w:ascii="仿宋" w:hAnsi="仿宋" w:eastAsia="仿宋" w:cs="仿宋"/>
                <w:b/>
                <w:bCs/>
                <w:kern w:val="0"/>
                <w:sz w:val="20"/>
                <w:szCs w:val="20"/>
              </w:rPr>
            </w:pPr>
            <w:r>
              <w:rPr>
                <w:rFonts w:hint="eastAsia" w:ascii="仿宋" w:hAnsi="仿宋" w:eastAsia="仿宋" w:cs="仿宋"/>
                <w:b/>
                <w:bCs/>
                <w:kern w:val="0"/>
                <w:sz w:val="20"/>
                <w:szCs w:val="20"/>
              </w:rPr>
              <w:t>项目名称</w:t>
            </w:r>
          </w:p>
        </w:tc>
        <w:tc>
          <w:tcPr>
            <w:tcW w:w="3682"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kern w:val="0"/>
                <w:sz w:val="20"/>
                <w:szCs w:val="20"/>
              </w:rPr>
            </w:pPr>
            <w:r>
              <w:rPr>
                <w:rFonts w:hint="eastAsia" w:ascii="仿宋" w:hAnsi="仿宋" w:eastAsia="仿宋" w:cs="仿宋"/>
                <w:b/>
                <w:bCs/>
                <w:kern w:val="0"/>
                <w:sz w:val="20"/>
                <w:szCs w:val="20"/>
              </w:rPr>
              <w:t>发生金额</w:t>
            </w:r>
          </w:p>
        </w:tc>
      </w:tr>
      <w:tr>
        <w:tblPrEx>
          <w:tblCellMar>
            <w:top w:w="0" w:type="dxa"/>
            <w:left w:w="108" w:type="dxa"/>
            <w:bottom w:w="0" w:type="dxa"/>
            <w:right w:w="108" w:type="dxa"/>
          </w:tblCellMar>
        </w:tblPrEx>
        <w:trPr>
          <w:trHeight w:val="360" w:hRule="atLeast"/>
        </w:trPr>
        <w:tc>
          <w:tcPr>
            <w:tcW w:w="4556" w:type="dxa"/>
            <w:tcBorders>
              <w:top w:val="single"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摄像机头6套（含航拍、单反设备）</w:t>
            </w:r>
          </w:p>
        </w:tc>
        <w:tc>
          <w:tcPr>
            <w:tcW w:w="3682"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40,000.00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非线性信号采集系统2套</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15,000.00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非线性后期编辑系统2套</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15,000.00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三维制作设备一套</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10,000.00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专题片拍摄费用</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108,000.00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后期编辑</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108,000.00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三维制作</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24,000.00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专题片文稿及配音费用</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人员外勤费</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45,000.00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专题片交通费用3台</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108,000.00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专题片协调、线索费用及协助拍摄</w:t>
            </w:r>
          </w:p>
        </w:tc>
        <w:tc>
          <w:tcPr>
            <w:tcW w:w="36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83,000.00 </w:t>
            </w:r>
          </w:p>
        </w:tc>
      </w:tr>
      <w:tr>
        <w:tblPrEx>
          <w:tblCellMar>
            <w:top w:w="0" w:type="dxa"/>
            <w:left w:w="108" w:type="dxa"/>
            <w:bottom w:w="0" w:type="dxa"/>
            <w:right w:w="108" w:type="dxa"/>
          </w:tblCellMar>
        </w:tblPrEx>
        <w:trPr>
          <w:trHeight w:val="360" w:hRule="atLeast"/>
        </w:trPr>
        <w:tc>
          <w:tcPr>
            <w:tcW w:w="4556" w:type="dxa"/>
            <w:tcBorders>
              <w:top w:val="dotted" w:color="000000" w:sz="4" w:space="0"/>
              <w:left w:val="nil"/>
              <w:bottom w:val="single"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专项协调费用</w:t>
            </w:r>
          </w:p>
        </w:tc>
        <w:tc>
          <w:tcPr>
            <w:tcW w:w="3682"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14,000.00 </w:t>
            </w:r>
          </w:p>
        </w:tc>
      </w:tr>
      <w:tr>
        <w:tblPrEx>
          <w:tblCellMar>
            <w:top w:w="0" w:type="dxa"/>
            <w:left w:w="108" w:type="dxa"/>
            <w:bottom w:w="0" w:type="dxa"/>
            <w:right w:w="108" w:type="dxa"/>
          </w:tblCellMar>
        </w:tblPrEx>
        <w:trPr>
          <w:trHeight w:val="360" w:hRule="atLeast"/>
        </w:trPr>
        <w:tc>
          <w:tcPr>
            <w:tcW w:w="4556"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合计</w:t>
            </w:r>
          </w:p>
        </w:tc>
        <w:tc>
          <w:tcPr>
            <w:tcW w:w="3682"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 xml:space="preserve">600,000.00 </w:t>
            </w:r>
          </w:p>
        </w:tc>
      </w:tr>
    </w:tbl>
    <w:p>
      <w:p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四）湖南邵阳天子湖国家湿地公园管理处实施的“邵阳县天子湖国家湿地公园建设和生态保护”项目，项目年初预算资金10,000,000.00元，实际到位资金10,000,000.00元，由于整体项目尚未全部完工，截止报告日止，累计支付了三个合同项目资金1,409,500.00元。其中：</w:t>
      </w:r>
    </w:p>
    <w:p>
      <w:p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1、2021年7月20日，邵阳市生态环境局与中科高盛咨询集团有限公司签订政府采购项目委托代理协议，通过竞争性磋商方式确定服务提供商，同年8月4日，磋商工作结束，确定浙江国际旅游集团规划设计研究有限公司为成交供应商，同年8月5日，邵阳市生态环境局与浙江国际旅游集团规划设计研究有限公司签订合同协议书，合同金额总计1,700,000.00元，目前大部分工作已完成，累计支付设计资金1,020,000.00元。</w:t>
      </w:r>
    </w:p>
    <w:p>
      <w:p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2、2021年12月1日，与广州奇岭环境服务有限公司签订关于清扫服务网上超市合同并制定水面保洁考勤办法，合同价299,500.00元/年，服务年限三年（2021.07.01-2024.06.30），已按合同支付水上保洁资金299,500.00元。</w:t>
      </w:r>
    </w:p>
    <w:p>
      <w:p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3、支付蔡山团村美丽庭院建设资金90,000.00元。</w:t>
      </w:r>
    </w:p>
    <w:p>
      <w:p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sz w:val="30"/>
          <w:szCs w:val="30"/>
        </w:rPr>
        <w:t>（五）邵阳市双清区渡头桥镇人民政府实施的“邵阳市双清区渡头桥镇邵水饮用水水源地保护施工”项目，</w:t>
      </w:r>
      <w:r>
        <w:rPr>
          <w:rFonts w:hint="eastAsia" w:ascii="仿宋" w:hAnsi="仿宋" w:eastAsia="仿宋" w:cs="仿宋"/>
          <w:color w:val="000000"/>
          <w:kern w:val="0"/>
          <w:sz w:val="30"/>
          <w:szCs w:val="30"/>
        </w:rPr>
        <w:t xml:space="preserve">年初预算资金人民币3,000,000.00元，截至报告日为止，到位资金人民币3,000,000.00元，累计支付人民币3,541,064.25元，资金支付的详细情况汇总列表如下：                            </w:t>
      </w:r>
    </w:p>
    <w:p>
      <w:pPr>
        <w:spacing w:line="560" w:lineRule="exact"/>
        <w:ind w:firstLine="600" w:firstLineChars="200"/>
        <w:jc w:val="right"/>
        <w:rPr>
          <w:rFonts w:hint="eastAsia" w:ascii="仿宋" w:hAnsi="仿宋" w:eastAsia="仿宋" w:cs="仿宋"/>
          <w:sz w:val="30"/>
          <w:szCs w:val="30"/>
        </w:rPr>
      </w:pPr>
    </w:p>
    <w:p>
      <w:pPr>
        <w:spacing w:line="560" w:lineRule="exact"/>
        <w:ind w:firstLine="600" w:firstLineChars="200"/>
        <w:jc w:val="right"/>
        <w:rPr>
          <w:rFonts w:ascii="仿宋" w:hAnsi="仿宋" w:eastAsia="仿宋" w:cs="仿宋"/>
          <w:color w:val="000000"/>
          <w:kern w:val="0"/>
          <w:sz w:val="30"/>
          <w:szCs w:val="30"/>
        </w:rPr>
      </w:pPr>
      <w:r>
        <w:rPr>
          <w:rFonts w:hint="eastAsia" w:ascii="仿宋" w:hAnsi="仿宋" w:eastAsia="仿宋" w:cs="仿宋"/>
          <w:sz w:val="30"/>
          <w:szCs w:val="30"/>
        </w:rPr>
        <w:t>饮用水水源地保护项目支出汇总表</w:t>
      </w:r>
      <w:r>
        <w:rPr>
          <w:rFonts w:hint="eastAsia" w:ascii="仿宋" w:hAnsi="仿宋" w:eastAsia="仿宋" w:cs="仿宋"/>
          <w:color w:val="000000"/>
          <w:kern w:val="0"/>
          <w:sz w:val="30"/>
          <w:szCs w:val="30"/>
        </w:rPr>
        <w:t xml:space="preserve">      </w:t>
      </w:r>
      <w:r>
        <w:rPr>
          <w:rFonts w:hint="eastAsia" w:ascii="仿宋" w:hAnsi="仿宋" w:eastAsia="仿宋" w:cs="仿宋"/>
          <w:color w:val="000000"/>
          <w:kern w:val="0"/>
          <w:szCs w:val="21"/>
        </w:rPr>
        <w:t>单位：人民币元</w:t>
      </w:r>
    </w:p>
    <w:tbl>
      <w:tblPr>
        <w:tblStyle w:val="6"/>
        <w:tblW w:w="8265" w:type="dxa"/>
        <w:tblInd w:w="93" w:type="dxa"/>
        <w:tblLayout w:type="fixed"/>
        <w:tblCellMar>
          <w:top w:w="0" w:type="dxa"/>
          <w:left w:w="108" w:type="dxa"/>
          <w:bottom w:w="0" w:type="dxa"/>
          <w:right w:w="108" w:type="dxa"/>
        </w:tblCellMar>
      </w:tblPr>
      <w:tblGrid>
        <w:gridCol w:w="4406"/>
        <w:gridCol w:w="3859"/>
      </w:tblGrid>
      <w:tr>
        <w:tblPrEx>
          <w:tblCellMar>
            <w:top w:w="0" w:type="dxa"/>
            <w:left w:w="108" w:type="dxa"/>
            <w:bottom w:w="0" w:type="dxa"/>
            <w:right w:w="108" w:type="dxa"/>
          </w:tblCellMar>
        </w:tblPrEx>
        <w:trPr>
          <w:trHeight w:val="480" w:hRule="atLeast"/>
        </w:trPr>
        <w:tc>
          <w:tcPr>
            <w:tcW w:w="4406" w:type="dxa"/>
            <w:tcBorders>
              <w:top w:val="double" w:color="000000" w:sz="4" w:space="0"/>
              <w:left w:val="nil"/>
              <w:bottom w:val="single" w:color="000000" w:sz="4" w:space="0"/>
              <w:right w:val="dotted" w:color="000000" w:sz="4" w:space="0"/>
            </w:tcBorders>
            <w:shd w:val="clear" w:color="auto" w:fill="auto"/>
            <w:vAlign w:val="center"/>
          </w:tcPr>
          <w:p>
            <w:pPr>
              <w:widowControl/>
              <w:jc w:val="left"/>
              <w:textAlignment w:val="center"/>
              <w:rPr>
                <w:rFonts w:ascii="仿宋" w:hAnsi="仿宋" w:eastAsia="仿宋" w:cs="仿宋"/>
                <w:b/>
                <w:bCs/>
                <w:color w:val="000000"/>
                <w:kern w:val="0"/>
                <w:szCs w:val="21"/>
              </w:rPr>
            </w:pPr>
            <w:r>
              <w:rPr>
                <w:rFonts w:hint="eastAsia" w:ascii="仿宋" w:hAnsi="仿宋" w:eastAsia="仿宋" w:cs="仿宋"/>
                <w:b/>
                <w:bCs/>
                <w:color w:val="000000"/>
                <w:kern w:val="0"/>
                <w:szCs w:val="21"/>
              </w:rPr>
              <w:t>单位名称</w:t>
            </w:r>
          </w:p>
        </w:tc>
        <w:tc>
          <w:tcPr>
            <w:tcW w:w="3859" w:type="dxa"/>
            <w:tcBorders>
              <w:top w:val="double" w:color="000000" w:sz="4" w:space="0"/>
              <w:left w:val="dotted" w:color="000000" w:sz="4" w:space="0"/>
              <w:bottom w:val="single" w:color="000000" w:sz="4" w:space="0"/>
              <w:right w:val="nil"/>
            </w:tcBorders>
            <w:shd w:val="clear" w:color="auto" w:fill="auto"/>
            <w:vAlign w:val="center"/>
          </w:tcPr>
          <w:p>
            <w:pPr>
              <w:widowControl/>
              <w:jc w:val="right"/>
              <w:textAlignment w:val="center"/>
              <w:rPr>
                <w:rFonts w:ascii="仿宋" w:hAnsi="仿宋" w:eastAsia="仿宋" w:cs="仿宋"/>
                <w:b/>
                <w:bCs/>
                <w:color w:val="000000"/>
                <w:kern w:val="0"/>
                <w:szCs w:val="21"/>
              </w:rPr>
            </w:pPr>
            <w:r>
              <w:rPr>
                <w:rFonts w:hint="eastAsia" w:ascii="仿宋" w:hAnsi="仿宋" w:eastAsia="仿宋" w:cs="仿宋"/>
                <w:b/>
                <w:bCs/>
                <w:color w:val="000000"/>
                <w:kern w:val="0"/>
                <w:szCs w:val="21"/>
              </w:rPr>
              <w:t>支付金额</w:t>
            </w:r>
          </w:p>
        </w:tc>
      </w:tr>
      <w:tr>
        <w:tblPrEx>
          <w:tblCellMar>
            <w:top w:w="0" w:type="dxa"/>
            <w:left w:w="108" w:type="dxa"/>
            <w:bottom w:w="0" w:type="dxa"/>
            <w:right w:w="108" w:type="dxa"/>
          </w:tblCellMar>
        </w:tblPrEx>
        <w:trPr>
          <w:trHeight w:val="480" w:hRule="atLeast"/>
        </w:trPr>
        <w:tc>
          <w:tcPr>
            <w:tcW w:w="4406" w:type="dxa"/>
            <w:tcBorders>
              <w:top w:val="single"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1、湖南省五州环保科技有限公司</w:t>
            </w:r>
          </w:p>
        </w:tc>
        <w:tc>
          <w:tcPr>
            <w:tcW w:w="3859" w:type="dxa"/>
            <w:tcBorders>
              <w:top w:val="single" w:color="000000" w:sz="4" w:space="0"/>
              <w:left w:val="dotted" w:color="000000" w:sz="4" w:space="0"/>
              <w:bottom w:val="dotted" w:color="000000" w:sz="4" w:space="0"/>
              <w:right w:val="nil"/>
            </w:tcBorders>
            <w:shd w:val="clear" w:color="auto" w:fill="auto"/>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3,100,000.00 </w:t>
            </w:r>
          </w:p>
        </w:tc>
      </w:tr>
      <w:tr>
        <w:tblPrEx>
          <w:tblCellMar>
            <w:top w:w="0" w:type="dxa"/>
            <w:left w:w="108" w:type="dxa"/>
            <w:bottom w:w="0" w:type="dxa"/>
            <w:right w:w="108" w:type="dxa"/>
          </w:tblCellMar>
        </w:tblPrEx>
        <w:trPr>
          <w:trHeight w:val="480" w:hRule="atLeast"/>
        </w:trPr>
        <w:tc>
          <w:tcPr>
            <w:tcW w:w="440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2、湖南省邵阳市双清区渡头桥镇渡头桥社区</w:t>
            </w:r>
          </w:p>
        </w:tc>
        <w:tc>
          <w:tcPr>
            <w:tcW w:w="3859" w:type="dxa"/>
            <w:tcBorders>
              <w:top w:val="dotted" w:color="000000" w:sz="4" w:space="0"/>
              <w:left w:val="dotted" w:color="000000" w:sz="4" w:space="0"/>
              <w:bottom w:val="dotted" w:color="000000" w:sz="4" w:space="0"/>
              <w:right w:val="nil"/>
            </w:tcBorders>
            <w:shd w:val="clear" w:color="auto" w:fill="auto"/>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130,000.00 </w:t>
            </w:r>
          </w:p>
        </w:tc>
      </w:tr>
      <w:tr>
        <w:tblPrEx>
          <w:tblCellMar>
            <w:top w:w="0" w:type="dxa"/>
            <w:left w:w="108" w:type="dxa"/>
            <w:bottom w:w="0" w:type="dxa"/>
            <w:right w:w="108" w:type="dxa"/>
          </w:tblCellMar>
        </w:tblPrEx>
        <w:trPr>
          <w:trHeight w:val="480" w:hRule="atLeast"/>
        </w:trPr>
        <w:tc>
          <w:tcPr>
            <w:tcW w:w="440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3、湖南宝清环境工程股份有限公司</w:t>
            </w:r>
          </w:p>
        </w:tc>
        <w:tc>
          <w:tcPr>
            <w:tcW w:w="3859" w:type="dxa"/>
            <w:tcBorders>
              <w:top w:val="dotted" w:color="000000" w:sz="4" w:space="0"/>
              <w:left w:val="dotted" w:color="000000" w:sz="4" w:space="0"/>
              <w:bottom w:val="dotted" w:color="000000" w:sz="4" w:space="0"/>
              <w:right w:val="nil"/>
            </w:tcBorders>
            <w:shd w:val="clear" w:color="auto" w:fill="auto"/>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46,000.00 </w:t>
            </w:r>
          </w:p>
        </w:tc>
      </w:tr>
      <w:tr>
        <w:tblPrEx>
          <w:tblCellMar>
            <w:top w:w="0" w:type="dxa"/>
            <w:left w:w="108" w:type="dxa"/>
            <w:bottom w:w="0" w:type="dxa"/>
            <w:right w:w="108" w:type="dxa"/>
          </w:tblCellMar>
        </w:tblPrEx>
        <w:trPr>
          <w:trHeight w:val="480" w:hRule="atLeast"/>
        </w:trPr>
        <w:tc>
          <w:tcPr>
            <w:tcW w:w="440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4、邵阳市建达科技发展有限公司</w:t>
            </w:r>
          </w:p>
        </w:tc>
        <w:tc>
          <w:tcPr>
            <w:tcW w:w="3859" w:type="dxa"/>
            <w:tcBorders>
              <w:top w:val="dotted" w:color="000000" w:sz="4" w:space="0"/>
              <w:left w:val="dotted" w:color="000000" w:sz="4" w:space="0"/>
              <w:bottom w:val="dotted" w:color="000000" w:sz="4" w:space="0"/>
              <w:right w:val="nil"/>
            </w:tcBorders>
            <w:shd w:val="clear" w:color="auto" w:fill="auto"/>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102,432.00 </w:t>
            </w:r>
          </w:p>
        </w:tc>
      </w:tr>
      <w:tr>
        <w:tblPrEx>
          <w:tblCellMar>
            <w:top w:w="0" w:type="dxa"/>
            <w:left w:w="108" w:type="dxa"/>
            <w:bottom w:w="0" w:type="dxa"/>
            <w:right w:w="108" w:type="dxa"/>
          </w:tblCellMar>
        </w:tblPrEx>
        <w:trPr>
          <w:trHeight w:val="480" w:hRule="atLeast"/>
        </w:trPr>
        <w:tc>
          <w:tcPr>
            <w:tcW w:w="440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5、湖南省建筑科学研究院有限责任公司</w:t>
            </w:r>
          </w:p>
        </w:tc>
        <w:tc>
          <w:tcPr>
            <w:tcW w:w="3859" w:type="dxa"/>
            <w:tcBorders>
              <w:top w:val="dotted" w:color="000000" w:sz="4" w:space="0"/>
              <w:left w:val="dotted" w:color="000000" w:sz="4" w:space="0"/>
              <w:bottom w:val="dotted" w:color="000000" w:sz="4" w:space="0"/>
              <w:right w:val="nil"/>
            </w:tcBorders>
            <w:shd w:val="clear" w:color="auto" w:fill="auto"/>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94,500.00 </w:t>
            </w:r>
          </w:p>
        </w:tc>
      </w:tr>
      <w:tr>
        <w:tblPrEx>
          <w:tblCellMar>
            <w:top w:w="0" w:type="dxa"/>
            <w:left w:w="108" w:type="dxa"/>
            <w:bottom w:w="0" w:type="dxa"/>
            <w:right w:w="108" w:type="dxa"/>
          </w:tblCellMar>
        </w:tblPrEx>
        <w:trPr>
          <w:trHeight w:val="480" w:hRule="atLeast"/>
        </w:trPr>
        <w:tc>
          <w:tcPr>
            <w:tcW w:w="4406" w:type="dxa"/>
            <w:tcBorders>
              <w:top w:val="dotted" w:color="000000" w:sz="4" w:space="0"/>
              <w:left w:val="nil"/>
              <w:bottom w:val="dotted"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6、湖南省益佳建设监理有限公司邵阳分公司</w:t>
            </w:r>
          </w:p>
        </w:tc>
        <w:tc>
          <w:tcPr>
            <w:tcW w:w="3859" w:type="dxa"/>
            <w:tcBorders>
              <w:top w:val="dotted" w:color="000000" w:sz="4" w:space="0"/>
              <w:left w:val="dotted" w:color="000000" w:sz="4" w:space="0"/>
              <w:bottom w:val="dotted" w:color="000000" w:sz="4" w:space="0"/>
              <w:right w:val="nil"/>
            </w:tcBorders>
            <w:shd w:val="clear" w:color="auto" w:fill="auto"/>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49,000.00 </w:t>
            </w:r>
          </w:p>
        </w:tc>
      </w:tr>
      <w:tr>
        <w:tblPrEx>
          <w:tblCellMar>
            <w:top w:w="0" w:type="dxa"/>
            <w:left w:w="108" w:type="dxa"/>
            <w:bottom w:w="0" w:type="dxa"/>
            <w:right w:w="108" w:type="dxa"/>
          </w:tblCellMar>
        </w:tblPrEx>
        <w:trPr>
          <w:trHeight w:val="480" w:hRule="atLeast"/>
        </w:trPr>
        <w:tc>
          <w:tcPr>
            <w:tcW w:w="4406" w:type="dxa"/>
            <w:tcBorders>
              <w:top w:val="dotted" w:color="000000" w:sz="4" w:space="0"/>
              <w:left w:val="nil"/>
              <w:bottom w:val="single" w:color="000000" w:sz="4" w:space="0"/>
              <w:right w:val="dotted" w:color="000000" w:sz="4" w:space="0"/>
            </w:tcBorders>
            <w:shd w:val="clear" w:color="auto" w:fill="auto"/>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7、湖南湘建项目管理有限公司隆回分公司</w:t>
            </w:r>
          </w:p>
        </w:tc>
        <w:tc>
          <w:tcPr>
            <w:tcW w:w="3859" w:type="dxa"/>
            <w:tcBorders>
              <w:top w:val="dotted" w:color="000000" w:sz="4" w:space="0"/>
              <w:left w:val="dotted" w:color="000000" w:sz="4" w:space="0"/>
              <w:bottom w:val="single" w:color="000000" w:sz="4" w:space="0"/>
              <w:right w:val="nil"/>
            </w:tcBorders>
            <w:shd w:val="clear" w:color="auto" w:fill="auto"/>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19,132.25 </w:t>
            </w:r>
          </w:p>
        </w:tc>
      </w:tr>
      <w:tr>
        <w:tblPrEx>
          <w:tblCellMar>
            <w:top w:w="0" w:type="dxa"/>
            <w:left w:w="108" w:type="dxa"/>
            <w:bottom w:w="0" w:type="dxa"/>
            <w:right w:w="108" w:type="dxa"/>
          </w:tblCellMar>
        </w:tblPrEx>
        <w:trPr>
          <w:trHeight w:val="480" w:hRule="atLeast"/>
        </w:trPr>
        <w:tc>
          <w:tcPr>
            <w:tcW w:w="4406"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szCs w:val="21"/>
              </w:rPr>
            </w:pPr>
            <w:r>
              <w:rPr>
                <w:rFonts w:hint="eastAsia" w:ascii="仿宋" w:hAnsi="仿宋" w:eastAsia="仿宋" w:cs="仿宋"/>
                <w:b/>
                <w:bCs/>
                <w:kern w:val="0"/>
                <w:szCs w:val="21"/>
              </w:rPr>
              <w:t>合计</w:t>
            </w:r>
          </w:p>
        </w:tc>
        <w:tc>
          <w:tcPr>
            <w:tcW w:w="3859"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szCs w:val="21"/>
              </w:rPr>
            </w:pPr>
            <w:r>
              <w:rPr>
                <w:rFonts w:hint="eastAsia" w:ascii="仿宋" w:hAnsi="仿宋" w:eastAsia="仿宋" w:cs="仿宋"/>
                <w:b/>
                <w:bCs/>
                <w:kern w:val="0"/>
                <w:szCs w:val="21"/>
              </w:rPr>
              <w:t xml:space="preserve">3,541,064.25 </w:t>
            </w:r>
          </w:p>
        </w:tc>
      </w:tr>
    </w:tbl>
    <w:p>
      <w:pPr>
        <w:spacing w:line="560" w:lineRule="exact"/>
        <w:jc w:val="left"/>
        <w:rPr>
          <w:rFonts w:ascii="仿宋" w:hAnsi="仿宋" w:eastAsia="仿宋" w:cs="仿宋"/>
          <w:sz w:val="30"/>
          <w:szCs w:val="30"/>
        </w:rPr>
      </w:pPr>
      <w:r>
        <w:rPr>
          <w:rFonts w:hint="eastAsia" w:ascii="仿宋" w:hAnsi="仿宋" w:eastAsia="仿宋" w:cs="仿宋"/>
          <w:sz w:val="30"/>
          <w:szCs w:val="30"/>
        </w:rPr>
        <w:t>注：（1）支付的</w:t>
      </w:r>
      <w:r>
        <w:rPr>
          <w:rFonts w:hint="eastAsia" w:ascii="仿宋" w:hAnsi="仿宋" w:eastAsia="仿宋" w:cs="仿宋"/>
          <w:color w:val="000000"/>
          <w:kern w:val="0"/>
          <w:sz w:val="30"/>
          <w:szCs w:val="30"/>
        </w:rPr>
        <w:t>湖南省五州环保科技有限公司3,100,000.00元，系累计支付的建设工程施工合同费用。2021年8月27日，</w:t>
      </w:r>
      <w:r>
        <w:rPr>
          <w:rFonts w:hint="eastAsia" w:ascii="仿宋" w:hAnsi="仿宋" w:eastAsia="仿宋" w:cs="仿宋"/>
          <w:sz w:val="30"/>
          <w:szCs w:val="30"/>
        </w:rPr>
        <w:t>邵阳市双清区渡头桥镇人民政府与</w:t>
      </w:r>
      <w:r>
        <w:rPr>
          <w:rFonts w:hint="eastAsia" w:ascii="仿宋" w:hAnsi="仿宋" w:eastAsia="仿宋" w:cs="仿宋"/>
          <w:color w:val="000000"/>
          <w:kern w:val="0"/>
          <w:sz w:val="30"/>
          <w:szCs w:val="30"/>
        </w:rPr>
        <w:t>湖南省五州环保科技有限公司签订建设工程综合单价施工合同，签约合同价3,959,090.00元；</w:t>
      </w:r>
    </w:p>
    <w:p>
      <w:pPr>
        <w:spacing w:line="560" w:lineRule="exact"/>
        <w:ind w:firstLine="560" w:firstLineChars="200"/>
        <w:jc w:val="left"/>
        <w:rPr>
          <w:rFonts w:ascii="仿宋" w:hAnsi="仿宋" w:eastAsia="仿宋" w:cs="仿宋"/>
          <w:sz w:val="30"/>
          <w:szCs w:val="30"/>
        </w:rPr>
      </w:pPr>
      <w:r>
        <w:rPr>
          <w:rFonts w:hint="eastAsia" w:ascii="仿宋" w:hAnsi="仿宋" w:eastAsia="仿宋" w:cs="仿宋"/>
          <w:color w:val="000000"/>
          <w:kern w:val="0"/>
          <w:sz w:val="28"/>
          <w:szCs w:val="28"/>
        </w:rPr>
        <w:t>（</w:t>
      </w:r>
      <w:r>
        <w:rPr>
          <w:rFonts w:hint="eastAsia" w:ascii="仿宋" w:hAnsi="仿宋" w:eastAsia="仿宋" w:cs="仿宋"/>
          <w:color w:val="000000"/>
          <w:kern w:val="0"/>
          <w:sz w:val="30"/>
          <w:szCs w:val="30"/>
        </w:rPr>
        <w:t>2）支付的湖南省邵阳市双清区渡头桥镇渡头桥社区130,000.00元，系社区保护水资源项目用地及矛盾经费；</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（3）支付的</w:t>
      </w:r>
      <w:r>
        <w:rPr>
          <w:rFonts w:hint="eastAsia" w:ascii="仿宋" w:hAnsi="仿宋" w:eastAsia="仿宋" w:cs="仿宋"/>
          <w:color w:val="000000"/>
          <w:kern w:val="0"/>
          <w:sz w:val="30"/>
          <w:szCs w:val="30"/>
        </w:rPr>
        <w:t>湖南宝清环境工程股份有限公司服务费46,000.00元，系项目可行性研究报告服务费。2021年4月26日，</w:t>
      </w:r>
      <w:r>
        <w:rPr>
          <w:rFonts w:hint="eastAsia" w:ascii="仿宋" w:hAnsi="仿宋" w:eastAsia="仿宋" w:cs="仿宋"/>
          <w:sz w:val="30"/>
          <w:szCs w:val="30"/>
        </w:rPr>
        <w:t>邵阳市双清区渡头桥镇人民政府与</w:t>
      </w:r>
      <w:r>
        <w:rPr>
          <w:rFonts w:hint="eastAsia" w:ascii="仿宋" w:hAnsi="仿宋" w:eastAsia="仿宋" w:cs="仿宋"/>
          <w:color w:val="000000"/>
          <w:kern w:val="0"/>
          <w:sz w:val="30"/>
          <w:szCs w:val="30"/>
        </w:rPr>
        <w:t>湖南宝清环境工程股份有限公司签订</w:t>
      </w:r>
      <w:r>
        <w:rPr>
          <w:rFonts w:hint="eastAsia" w:ascii="仿宋" w:hAnsi="仿宋" w:eastAsia="仿宋" w:cs="仿宋"/>
          <w:sz w:val="30"/>
          <w:szCs w:val="30"/>
        </w:rPr>
        <w:t>邵阳市双清区渡头桥镇邵水饮用水水源地保护工程</w:t>
      </w:r>
      <w:r>
        <w:rPr>
          <w:rFonts w:hint="eastAsia" w:ascii="仿宋" w:hAnsi="仿宋" w:eastAsia="仿宋" w:cs="仿宋"/>
          <w:color w:val="000000"/>
          <w:kern w:val="0"/>
          <w:sz w:val="30"/>
          <w:szCs w:val="30"/>
        </w:rPr>
        <w:t>可行性研究报告编制服务合同，结算金额46,000.00元。</w:t>
      </w:r>
    </w:p>
    <w:p>
      <w:pPr>
        <w:numPr>
          <w:ilvl w:val="0"/>
          <w:numId w:val="4"/>
        </w:numPr>
        <w:spacing w:line="560" w:lineRule="exact"/>
        <w:ind w:firstLine="560" w:firstLineChars="200"/>
        <w:jc w:val="left"/>
        <w:rPr>
          <w:rFonts w:ascii="仿宋" w:hAnsi="仿宋" w:eastAsia="仿宋" w:cs="仿宋"/>
          <w:color w:val="000000"/>
          <w:kern w:val="0"/>
          <w:sz w:val="28"/>
          <w:szCs w:val="28"/>
        </w:rPr>
      </w:pPr>
      <w:r>
        <w:rPr>
          <w:rFonts w:hint="eastAsia" w:ascii="仿宋" w:hAnsi="仿宋" w:eastAsia="仿宋" w:cs="仿宋"/>
          <w:sz w:val="28"/>
          <w:szCs w:val="28"/>
        </w:rPr>
        <w:t>支</w:t>
      </w:r>
      <w:r>
        <w:rPr>
          <w:rFonts w:hint="eastAsia" w:ascii="仿宋" w:hAnsi="仿宋" w:eastAsia="仿宋" w:cs="仿宋"/>
          <w:sz w:val="30"/>
          <w:szCs w:val="30"/>
        </w:rPr>
        <w:t>付的</w:t>
      </w:r>
      <w:r>
        <w:rPr>
          <w:rFonts w:hint="eastAsia" w:ascii="仿宋" w:hAnsi="仿宋" w:eastAsia="仿宋" w:cs="仿宋"/>
          <w:color w:val="000000"/>
          <w:kern w:val="0"/>
          <w:sz w:val="30"/>
          <w:szCs w:val="30"/>
        </w:rPr>
        <w:t>邵阳市建达科技发展有限公司102,432.00元</w:t>
      </w:r>
      <w:r>
        <w:rPr>
          <w:rFonts w:hint="eastAsia" w:ascii="仿宋" w:hAnsi="仿宋" w:eastAsia="仿宋" w:cs="仿宋"/>
          <w:color w:val="000000"/>
          <w:kern w:val="0"/>
          <w:szCs w:val="21"/>
        </w:rPr>
        <w:t>，</w:t>
      </w:r>
      <w:r>
        <w:rPr>
          <w:rFonts w:hint="eastAsia" w:ascii="仿宋" w:hAnsi="仿宋" w:eastAsia="仿宋" w:cs="仿宋"/>
          <w:color w:val="000000"/>
          <w:kern w:val="0"/>
          <w:sz w:val="30"/>
          <w:szCs w:val="30"/>
        </w:rPr>
        <w:t>系护栏工程款。</w:t>
      </w:r>
      <w:r>
        <w:rPr>
          <w:rFonts w:hint="eastAsia" w:ascii="仿宋" w:hAnsi="仿宋" w:eastAsia="仿宋" w:cs="仿宋"/>
          <w:sz w:val="30"/>
          <w:szCs w:val="30"/>
        </w:rPr>
        <w:t>2</w:t>
      </w:r>
      <w:r>
        <w:rPr>
          <w:rFonts w:hint="eastAsia" w:ascii="仿宋" w:hAnsi="仿宋" w:eastAsia="仿宋" w:cs="仿宋"/>
          <w:sz w:val="28"/>
          <w:szCs w:val="28"/>
        </w:rPr>
        <w:t>021年9月6日，与</w:t>
      </w:r>
      <w:r>
        <w:rPr>
          <w:rFonts w:hint="eastAsia" w:ascii="仿宋" w:hAnsi="仿宋" w:eastAsia="仿宋" w:cs="仿宋"/>
          <w:color w:val="000000"/>
          <w:kern w:val="0"/>
          <w:sz w:val="28"/>
          <w:szCs w:val="28"/>
        </w:rPr>
        <w:t>邵阳市建达科技发展有限公司签订护栏安装合同，防护栏全长480米，合同单价220元/米，总造价105,600.00元；</w:t>
      </w:r>
    </w:p>
    <w:p>
      <w:pPr>
        <w:spacing w:line="560" w:lineRule="exact"/>
        <w:ind w:firstLine="56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28"/>
          <w:szCs w:val="28"/>
        </w:rPr>
        <w:t>（5）</w:t>
      </w:r>
      <w:r>
        <w:rPr>
          <w:rFonts w:hint="eastAsia" w:ascii="仿宋" w:hAnsi="仿宋" w:eastAsia="仿宋" w:cs="仿宋"/>
          <w:color w:val="000000"/>
          <w:kern w:val="0"/>
          <w:sz w:val="30"/>
          <w:szCs w:val="30"/>
        </w:rPr>
        <w:t>支付的湖南省建筑科学研究院有限责任公司94,500.00元，系设计服务费。2021年7月22日，</w:t>
      </w:r>
      <w:r>
        <w:rPr>
          <w:rFonts w:hint="eastAsia" w:ascii="仿宋" w:hAnsi="仿宋" w:eastAsia="仿宋" w:cs="仿宋"/>
          <w:sz w:val="30"/>
          <w:szCs w:val="30"/>
        </w:rPr>
        <w:t>邵阳市双清区渡头桥镇人民政府与</w:t>
      </w:r>
      <w:r>
        <w:rPr>
          <w:rFonts w:hint="eastAsia" w:ascii="仿宋" w:hAnsi="仿宋" w:eastAsia="仿宋" w:cs="仿宋"/>
          <w:color w:val="000000"/>
          <w:kern w:val="0"/>
          <w:sz w:val="30"/>
          <w:szCs w:val="30"/>
        </w:rPr>
        <w:t>湖南省建筑科学研究院有限责任公司签订建筑工程设计合同，合同总价105,000.00元，结算价94,500.00元。</w:t>
      </w:r>
    </w:p>
    <w:p>
      <w:pPr>
        <w:spacing w:line="560" w:lineRule="exact"/>
        <w:ind w:firstLine="56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28"/>
          <w:szCs w:val="28"/>
        </w:rPr>
        <w:t>（6）支付的</w:t>
      </w:r>
      <w:r>
        <w:rPr>
          <w:rFonts w:hint="eastAsia" w:ascii="仿宋" w:hAnsi="仿宋" w:eastAsia="仿宋" w:cs="仿宋"/>
          <w:color w:val="000000"/>
          <w:kern w:val="0"/>
          <w:sz w:val="30"/>
          <w:szCs w:val="30"/>
        </w:rPr>
        <w:t>湖南省益佳建设监理有限公司邵阳分公司服务费49,000.00元，系建设工程监理费。2021年8月27日，</w:t>
      </w:r>
      <w:r>
        <w:rPr>
          <w:rFonts w:hint="eastAsia" w:ascii="仿宋" w:hAnsi="仿宋" w:eastAsia="仿宋" w:cs="仿宋"/>
          <w:sz w:val="30"/>
          <w:szCs w:val="30"/>
        </w:rPr>
        <w:t>邵阳市双清区渡头桥镇人民政府与</w:t>
      </w:r>
      <w:r>
        <w:rPr>
          <w:rFonts w:hint="eastAsia" w:ascii="仿宋" w:hAnsi="仿宋" w:eastAsia="仿宋" w:cs="仿宋"/>
          <w:color w:val="000000"/>
          <w:kern w:val="0"/>
          <w:sz w:val="30"/>
          <w:szCs w:val="30"/>
        </w:rPr>
        <w:t>湖南省益佳建设监理有限公司邵阳分公司签订建筑工程监理合同，工程监理费包干总额98,000.00元。</w:t>
      </w:r>
    </w:p>
    <w:p>
      <w:pPr>
        <w:spacing w:line="560" w:lineRule="exact"/>
        <w:ind w:firstLine="560" w:firstLineChars="200"/>
        <w:jc w:val="left"/>
        <w:rPr>
          <w:rFonts w:ascii="仿宋" w:hAnsi="仿宋" w:eastAsia="仿宋" w:cs="仿宋"/>
          <w:color w:val="000000"/>
          <w:kern w:val="0"/>
          <w:sz w:val="28"/>
          <w:szCs w:val="28"/>
        </w:rPr>
      </w:pPr>
      <w:r>
        <w:rPr>
          <w:rFonts w:hint="eastAsia" w:ascii="仿宋" w:hAnsi="仿宋" w:eastAsia="仿宋" w:cs="仿宋"/>
          <w:color w:val="000000"/>
          <w:kern w:val="0"/>
          <w:sz w:val="28"/>
          <w:szCs w:val="28"/>
        </w:rPr>
        <w:t>（7）</w:t>
      </w:r>
      <w:r>
        <w:rPr>
          <w:rFonts w:hint="eastAsia" w:ascii="仿宋" w:hAnsi="仿宋" w:eastAsia="仿宋" w:cs="仿宋"/>
          <w:color w:val="000000"/>
          <w:kern w:val="0"/>
          <w:sz w:val="30"/>
          <w:szCs w:val="30"/>
        </w:rPr>
        <w:t>支付的湖南湘</w:t>
      </w:r>
      <w:r>
        <w:rPr>
          <w:rFonts w:hint="eastAsia" w:ascii="仿宋" w:hAnsi="仿宋" w:eastAsia="仿宋" w:cs="仿宋"/>
          <w:sz w:val="30"/>
          <w:szCs w:val="30"/>
        </w:rPr>
        <w:t>邵阳市双清区渡头</w:t>
      </w:r>
      <w:r>
        <w:rPr>
          <w:rFonts w:hint="eastAsia" w:ascii="仿宋" w:hAnsi="仿宋" w:eastAsia="仿宋" w:cs="仿宋"/>
          <w:color w:val="000000"/>
          <w:kern w:val="0"/>
          <w:sz w:val="30"/>
          <w:szCs w:val="30"/>
        </w:rPr>
        <w:t>建项目管理有限公司隆回分公司咨询服务费19,132.25元，系建设工程造价咨询服务费。2021年7月14日，</w:t>
      </w:r>
      <w:r>
        <w:rPr>
          <w:rFonts w:hint="eastAsia" w:ascii="仿宋" w:hAnsi="仿宋" w:eastAsia="仿宋" w:cs="仿宋"/>
          <w:sz w:val="30"/>
          <w:szCs w:val="30"/>
        </w:rPr>
        <w:t>桥镇人民政府与</w:t>
      </w:r>
      <w:r>
        <w:rPr>
          <w:rFonts w:hint="eastAsia" w:ascii="仿宋" w:hAnsi="仿宋" w:eastAsia="仿宋" w:cs="仿宋"/>
          <w:color w:val="000000"/>
          <w:kern w:val="0"/>
          <w:sz w:val="30"/>
          <w:szCs w:val="30"/>
        </w:rPr>
        <w:t>湖南湘建项目管理有限公司隆回分公司签订建设工程造价咨询合同，咨询服务费按照审定招标控制价的0.48%计算。</w:t>
      </w:r>
    </w:p>
    <w:p>
      <w:p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sz w:val="30"/>
          <w:szCs w:val="30"/>
        </w:rPr>
        <w:t>（六）邵阳市双清区火车站乡莲荷村村民委员会实施的“邵阳市双清区火车站乡莲荷村农村环境整治”项目，年初预算金额人民币</w:t>
      </w:r>
      <w:r>
        <w:rPr>
          <w:rFonts w:hint="eastAsia" w:ascii="仿宋" w:hAnsi="仿宋" w:eastAsia="仿宋" w:cs="仿宋"/>
          <w:color w:val="000000"/>
          <w:kern w:val="0"/>
          <w:sz w:val="30"/>
          <w:szCs w:val="30"/>
        </w:rPr>
        <w:t>250,000.00 元，已于2022年6月1日拨付到位，截至报告日止，已支付项目资金合计人民币255,092.00元，详细情况汇总列表如下：</w:t>
      </w:r>
    </w:p>
    <w:p>
      <w:pPr>
        <w:spacing w:line="560" w:lineRule="exact"/>
        <w:ind w:firstLine="600" w:firstLineChars="200"/>
        <w:jc w:val="right"/>
        <w:rPr>
          <w:rFonts w:ascii="仿宋" w:hAnsi="仿宋" w:eastAsia="仿宋" w:cs="仿宋"/>
          <w:color w:val="000000"/>
          <w:kern w:val="0"/>
          <w:sz w:val="30"/>
          <w:szCs w:val="30"/>
        </w:rPr>
      </w:pPr>
      <w:r>
        <w:rPr>
          <w:rFonts w:hint="eastAsia" w:ascii="仿宋" w:hAnsi="仿宋" w:eastAsia="仿宋" w:cs="仿宋"/>
          <w:sz w:val="30"/>
          <w:szCs w:val="30"/>
        </w:rPr>
        <w:t xml:space="preserve">莲荷村农村环境整治项目支出汇总表   </w:t>
      </w:r>
      <w:r>
        <w:rPr>
          <w:rFonts w:hint="eastAsia" w:ascii="仿宋" w:hAnsi="仿宋" w:eastAsia="仿宋" w:cs="仿宋"/>
          <w:szCs w:val="21"/>
        </w:rPr>
        <w:t>单位：人民币元</w:t>
      </w:r>
    </w:p>
    <w:tbl>
      <w:tblPr>
        <w:tblStyle w:val="6"/>
        <w:tblW w:w="8334" w:type="dxa"/>
        <w:tblInd w:w="93" w:type="dxa"/>
        <w:tblLayout w:type="fixed"/>
        <w:tblCellMar>
          <w:top w:w="0" w:type="dxa"/>
          <w:left w:w="108" w:type="dxa"/>
          <w:bottom w:w="0" w:type="dxa"/>
          <w:right w:w="108" w:type="dxa"/>
        </w:tblCellMar>
      </w:tblPr>
      <w:tblGrid>
        <w:gridCol w:w="4352"/>
        <w:gridCol w:w="3982"/>
      </w:tblGrid>
      <w:tr>
        <w:tblPrEx>
          <w:tblCellMar>
            <w:top w:w="0" w:type="dxa"/>
            <w:left w:w="108" w:type="dxa"/>
            <w:bottom w:w="0" w:type="dxa"/>
            <w:right w:w="108" w:type="dxa"/>
          </w:tblCellMar>
        </w:tblPrEx>
        <w:trPr>
          <w:trHeight w:val="400" w:hRule="atLeast"/>
        </w:trPr>
        <w:tc>
          <w:tcPr>
            <w:tcW w:w="4352" w:type="dxa"/>
            <w:tcBorders>
              <w:top w:val="double"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kern w:val="0"/>
                <w:sz w:val="20"/>
                <w:szCs w:val="20"/>
              </w:rPr>
            </w:pPr>
            <w:r>
              <w:rPr>
                <w:rFonts w:hint="eastAsia" w:ascii="仿宋" w:hAnsi="仿宋" w:eastAsia="仿宋" w:cs="仿宋"/>
                <w:b/>
                <w:bCs/>
                <w:color w:val="000000"/>
                <w:kern w:val="0"/>
                <w:sz w:val="20"/>
                <w:szCs w:val="20"/>
              </w:rPr>
              <w:t>支出项目名称</w:t>
            </w:r>
          </w:p>
        </w:tc>
        <w:tc>
          <w:tcPr>
            <w:tcW w:w="3982"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color w:val="000000"/>
                <w:kern w:val="0"/>
                <w:sz w:val="20"/>
                <w:szCs w:val="20"/>
              </w:rPr>
            </w:pPr>
            <w:r>
              <w:rPr>
                <w:rFonts w:hint="eastAsia" w:ascii="仿宋" w:hAnsi="仿宋" w:eastAsia="仿宋" w:cs="仿宋"/>
                <w:b/>
                <w:bCs/>
                <w:color w:val="000000"/>
                <w:kern w:val="0"/>
                <w:sz w:val="20"/>
                <w:szCs w:val="20"/>
              </w:rPr>
              <w:t>支出金额</w:t>
            </w:r>
          </w:p>
        </w:tc>
      </w:tr>
      <w:tr>
        <w:tblPrEx>
          <w:tblCellMar>
            <w:top w:w="0" w:type="dxa"/>
            <w:left w:w="108" w:type="dxa"/>
            <w:bottom w:w="0" w:type="dxa"/>
            <w:right w:w="108" w:type="dxa"/>
          </w:tblCellMar>
        </w:tblPrEx>
        <w:trPr>
          <w:trHeight w:val="400" w:hRule="atLeast"/>
        </w:trPr>
        <w:tc>
          <w:tcPr>
            <w:tcW w:w="4352" w:type="dxa"/>
            <w:tcBorders>
              <w:top w:val="single"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1、卫生工资</w:t>
            </w:r>
          </w:p>
        </w:tc>
        <w:tc>
          <w:tcPr>
            <w:tcW w:w="3982"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97,000.00 </w:t>
            </w:r>
          </w:p>
        </w:tc>
      </w:tr>
      <w:tr>
        <w:tblPrEx>
          <w:tblCellMar>
            <w:top w:w="0" w:type="dxa"/>
            <w:left w:w="108" w:type="dxa"/>
            <w:bottom w:w="0" w:type="dxa"/>
            <w:right w:w="108" w:type="dxa"/>
          </w:tblCellMar>
        </w:tblPrEx>
        <w:trPr>
          <w:trHeight w:val="400" w:hRule="atLeast"/>
        </w:trPr>
        <w:tc>
          <w:tcPr>
            <w:tcW w:w="4352"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2、路灯维修、刷漆</w:t>
            </w:r>
          </w:p>
        </w:tc>
        <w:tc>
          <w:tcPr>
            <w:tcW w:w="39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26,177.00 </w:t>
            </w:r>
          </w:p>
        </w:tc>
      </w:tr>
      <w:tr>
        <w:tblPrEx>
          <w:tblCellMar>
            <w:top w:w="0" w:type="dxa"/>
            <w:left w:w="108" w:type="dxa"/>
            <w:bottom w:w="0" w:type="dxa"/>
            <w:right w:w="108" w:type="dxa"/>
          </w:tblCellMar>
        </w:tblPrEx>
        <w:trPr>
          <w:trHeight w:val="400" w:hRule="atLeast"/>
        </w:trPr>
        <w:tc>
          <w:tcPr>
            <w:tcW w:w="4352"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3、马路两边除草</w:t>
            </w:r>
          </w:p>
        </w:tc>
        <w:tc>
          <w:tcPr>
            <w:tcW w:w="39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20,400.00 </w:t>
            </w:r>
          </w:p>
        </w:tc>
      </w:tr>
      <w:tr>
        <w:tblPrEx>
          <w:tblCellMar>
            <w:top w:w="0" w:type="dxa"/>
            <w:left w:w="108" w:type="dxa"/>
            <w:bottom w:w="0" w:type="dxa"/>
            <w:right w:w="108" w:type="dxa"/>
          </w:tblCellMar>
        </w:tblPrEx>
        <w:trPr>
          <w:trHeight w:val="400" w:hRule="atLeast"/>
        </w:trPr>
        <w:tc>
          <w:tcPr>
            <w:tcW w:w="4352"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4、拆除空心房</w:t>
            </w:r>
          </w:p>
        </w:tc>
        <w:tc>
          <w:tcPr>
            <w:tcW w:w="39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3,050.00 </w:t>
            </w:r>
          </w:p>
        </w:tc>
      </w:tr>
      <w:tr>
        <w:tblPrEx>
          <w:tblCellMar>
            <w:top w:w="0" w:type="dxa"/>
            <w:left w:w="108" w:type="dxa"/>
            <w:bottom w:w="0" w:type="dxa"/>
            <w:right w:w="108" w:type="dxa"/>
          </w:tblCellMar>
        </w:tblPrEx>
        <w:trPr>
          <w:trHeight w:val="400" w:hRule="atLeast"/>
        </w:trPr>
        <w:tc>
          <w:tcPr>
            <w:tcW w:w="4352"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5、拆除钢架棚</w:t>
            </w:r>
          </w:p>
        </w:tc>
        <w:tc>
          <w:tcPr>
            <w:tcW w:w="39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4,200.00 </w:t>
            </w:r>
          </w:p>
        </w:tc>
      </w:tr>
      <w:tr>
        <w:tblPrEx>
          <w:tblCellMar>
            <w:top w:w="0" w:type="dxa"/>
            <w:left w:w="108" w:type="dxa"/>
            <w:bottom w:w="0" w:type="dxa"/>
            <w:right w:w="108" w:type="dxa"/>
          </w:tblCellMar>
        </w:tblPrEx>
        <w:trPr>
          <w:trHeight w:val="400" w:hRule="atLeast"/>
        </w:trPr>
        <w:tc>
          <w:tcPr>
            <w:tcW w:w="4352"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6、垃圾转运</w:t>
            </w:r>
          </w:p>
        </w:tc>
        <w:tc>
          <w:tcPr>
            <w:tcW w:w="39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28,450.00 </w:t>
            </w:r>
          </w:p>
        </w:tc>
      </w:tr>
      <w:tr>
        <w:tblPrEx>
          <w:tblCellMar>
            <w:top w:w="0" w:type="dxa"/>
            <w:left w:w="108" w:type="dxa"/>
            <w:bottom w:w="0" w:type="dxa"/>
            <w:right w:w="108" w:type="dxa"/>
          </w:tblCellMar>
        </w:tblPrEx>
        <w:trPr>
          <w:trHeight w:val="400" w:hRule="atLeast"/>
        </w:trPr>
        <w:tc>
          <w:tcPr>
            <w:tcW w:w="4352"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7、施工现场围栏</w:t>
            </w:r>
          </w:p>
        </w:tc>
        <w:tc>
          <w:tcPr>
            <w:tcW w:w="3982"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3,815.00 </w:t>
            </w:r>
          </w:p>
        </w:tc>
      </w:tr>
      <w:tr>
        <w:tblPrEx>
          <w:tblCellMar>
            <w:top w:w="0" w:type="dxa"/>
            <w:left w:w="108" w:type="dxa"/>
            <w:bottom w:w="0" w:type="dxa"/>
            <w:right w:w="108" w:type="dxa"/>
          </w:tblCellMar>
        </w:tblPrEx>
        <w:trPr>
          <w:trHeight w:val="400" w:hRule="atLeast"/>
        </w:trPr>
        <w:tc>
          <w:tcPr>
            <w:tcW w:w="4352" w:type="dxa"/>
            <w:tcBorders>
              <w:top w:val="dotted"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8、鸡鸭圈养90户</w:t>
            </w:r>
          </w:p>
        </w:tc>
        <w:tc>
          <w:tcPr>
            <w:tcW w:w="3982"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72,000.00 </w:t>
            </w:r>
          </w:p>
        </w:tc>
      </w:tr>
      <w:tr>
        <w:tblPrEx>
          <w:tblCellMar>
            <w:top w:w="0" w:type="dxa"/>
            <w:left w:w="108" w:type="dxa"/>
            <w:bottom w:w="0" w:type="dxa"/>
            <w:right w:w="108" w:type="dxa"/>
          </w:tblCellMar>
        </w:tblPrEx>
        <w:trPr>
          <w:trHeight w:val="400" w:hRule="atLeast"/>
        </w:trPr>
        <w:tc>
          <w:tcPr>
            <w:tcW w:w="4352"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合计</w:t>
            </w:r>
          </w:p>
        </w:tc>
        <w:tc>
          <w:tcPr>
            <w:tcW w:w="3982"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 xml:space="preserve">255,092.00 </w:t>
            </w:r>
          </w:p>
        </w:tc>
      </w:tr>
    </w:tbl>
    <w:p>
      <w:pPr>
        <w:spacing w:line="560" w:lineRule="exact"/>
        <w:ind w:firstLine="600" w:firstLineChars="200"/>
        <w:jc w:val="left"/>
        <w:rPr>
          <w:rFonts w:ascii="仿宋" w:hAnsi="仿宋" w:eastAsia="仿宋" w:cs="仿宋"/>
          <w:kern w:val="0"/>
          <w:sz w:val="30"/>
          <w:szCs w:val="30"/>
        </w:rPr>
      </w:pPr>
      <w:r>
        <w:rPr>
          <w:rFonts w:hint="eastAsia" w:ascii="仿宋" w:hAnsi="仿宋" w:eastAsia="仿宋" w:cs="仿宋"/>
          <w:sz w:val="30"/>
          <w:szCs w:val="30"/>
        </w:rPr>
        <w:t>（七）湖南省邵阳生态环境监测中心实施的“环境监测”项目工作经费，年初预算资金人民币2,800,000.00元，2021年12月28日拨付到位，</w:t>
      </w:r>
      <w:r>
        <w:rPr>
          <w:rFonts w:hint="eastAsia" w:ascii="仿宋" w:hAnsi="仿宋" w:eastAsia="仿宋" w:cs="仿宋"/>
          <w:kern w:val="0"/>
          <w:sz w:val="30"/>
          <w:szCs w:val="30"/>
        </w:rPr>
        <w:t>截至报告日止，已累计支付资金合计人民币124,604.72元，详细情况汇总列表如下：</w:t>
      </w:r>
    </w:p>
    <w:p>
      <w:pPr>
        <w:spacing w:line="560" w:lineRule="exact"/>
        <w:jc w:val="right"/>
        <w:rPr>
          <w:rFonts w:ascii="仿宋" w:hAnsi="仿宋" w:eastAsia="仿宋" w:cs="仿宋"/>
          <w:kern w:val="0"/>
          <w:sz w:val="30"/>
          <w:szCs w:val="30"/>
        </w:rPr>
      </w:pPr>
      <w:r>
        <w:rPr>
          <w:rFonts w:hint="eastAsia" w:ascii="仿宋" w:hAnsi="仿宋" w:eastAsia="仿宋" w:cs="仿宋"/>
          <w:kern w:val="0"/>
          <w:sz w:val="30"/>
          <w:szCs w:val="30"/>
        </w:rPr>
        <w:t xml:space="preserve">环境监测支出情况一览表    </w:t>
      </w:r>
      <w:r>
        <w:rPr>
          <w:rFonts w:hint="eastAsia" w:ascii="仿宋" w:hAnsi="仿宋" w:eastAsia="仿宋" w:cs="仿宋"/>
          <w:kern w:val="0"/>
          <w:szCs w:val="21"/>
        </w:rPr>
        <w:t xml:space="preserve">   单位：人民币元</w:t>
      </w:r>
    </w:p>
    <w:tbl>
      <w:tblPr>
        <w:tblStyle w:val="6"/>
        <w:tblW w:w="8334" w:type="dxa"/>
        <w:tblInd w:w="93" w:type="dxa"/>
        <w:tblLayout w:type="fixed"/>
        <w:tblCellMar>
          <w:top w:w="0" w:type="dxa"/>
          <w:left w:w="108" w:type="dxa"/>
          <w:bottom w:w="0" w:type="dxa"/>
          <w:right w:w="108" w:type="dxa"/>
        </w:tblCellMar>
      </w:tblPr>
      <w:tblGrid>
        <w:gridCol w:w="4529"/>
        <w:gridCol w:w="3805"/>
      </w:tblGrid>
      <w:tr>
        <w:tblPrEx>
          <w:tblCellMar>
            <w:top w:w="0" w:type="dxa"/>
            <w:left w:w="108" w:type="dxa"/>
            <w:bottom w:w="0" w:type="dxa"/>
            <w:right w:w="108" w:type="dxa"/>
          </w:tblCellMar>
        </w:tblPrEx>
        <w:trPr>
          <w:trHeight w:val="400" w:hRule="atLeast"/>
        </w:trPr>
        <w:tc>
          <w:tcPr>
            <w:tcW w:w="4529" w:type="dxa"/>
            <w:tcBorders>
              <w:top w:val="double"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kern w:val="0"/>
                <w:sz w:val="20"/>
                <w:szCs w:val="20"/>
              </w:rPr>
            </w:pPr>
            <w:r>
              <w:rPr>
                <w:rFonts w:hint="eastAsia" w:ascii="仿宋" w:hAnsi="仿宋" w:eastAsia="仿宋" w:cs="仿宋"/>
                <w:b/>
                <w:bCs/>
                <w:kern w:val="0"/>
                <w:sz w:val="20"/>
                <w:szCs w:val="20"/>
              </w:rPr>
              <w:t>单位名称</w:t>
            </w:r>
          </w:p>
        </w:tc>
        <w:tc>
          <w:tcPr>
            <w:tcW w:w="3805"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kern w:val="0"/>
                <w:sz w:val="20"/>
                <w:szCs w:val="20"/>
              </w:rPr>
            </w:pPr>
            <w:r>
              <w:rPr>
                <w:rFonts w:hint="eastAsia" w:ascii="仿宋" w:hAnsi="仿宋" w:eastAsia="仿宋" w:cs="仿宋"/>
                <w:b/>
                <w:bCs/>
                <w:kern w:val="0"/>
                <w:sz w:val="20"/>
                <w:szCs w:val="20"/>
              </w:rPr>
              <w:t>支付金额</w:t>
            </w:r>
          </w:p>
        </w:tc>
      </w:tr>
      <w:tr>
        <w:tblPrEx>
          <w:tblCellMar>
            <w:top w:w="0" w:type="dxa"/>
            <w:left w:w="108" w:type="dxa"/>
            <w:bottom w:w="0" w:type="dxa"/>
            <w:right w:w="108" w:type="dxa"/>
          </w:tblCellMar>
        </w:tblPrEx>
        <w:trPr>
          <w:trHeight w:val="400" w:hRule="atLeast"/>
        </w:trPr>
        <w:tc>
          <w:tcPr>
            <w:tcW w:w="4529" w:type="dxa"/>
            <w:tcBorders>
              <w:top w:val="single"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邵阳市锦程车辆服务有限责任公司</w:t>
            </w:r>
          </w:p>
        </w:tc>
        <w:tc>
          <w:tcPr>
            <w:tcW w:w="3805"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19,684.00 </w:t>
            </w:r>
          </w:p>
        </w:tc>
      </w:tr>
      <w:tr>
        <w:tblPrEx>
          <w:tblCellMar>
            <w:top w:w="0" w:type="dxa"/>
            <w:left w:w="108" w:type="dxa"/>
            <w:bottom w:w="0" w:type="dxa"/>
            <w:right w:w="108" w:type="dxa"/>
          </w:tblCellMar>
        </w:tblPrEx>
        <w:trPr>
          <w:trHeight w:val="400" w:hRule="atLeast"/>
        </w:trPr>
        <w:tc>
          <w:tcPr>
            <w:tcW w:w="4529"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邵阳市合众汽车租赁有限公司</w:t>
            </w:r>
          </w:p>
        </w:tc>
        <w:tc>
          <w:tcPr>
            <w:tcW w:w="3805"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16,328.22 </w:t>
            </w:r>
          </w:p>
        </w:tc>
      </w:tr>
      <w:tr>
        <w:tblPrEx>
          <w:tblCellMar>
            <w:top w:w="0" w:type="dxa"/>
            <w:left w:w="108" w:type="dxa"/>
            <w:bottom w:w="0" w:type="dxa"/>
            <w:right w:w="108" w:type="dxa"/>
          </w:tblCellMar>
        </w:tblPrEx>
        <w:trPr>
          <w:trHeight w:val="400" w:hRule="atLeast"/>
        </w:trPr>
        <w:tc>
          <w:tcPr>
            <w:tcW w:w="4529"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湖南玖可诚生物科技有限公司</w:t>
            </w:r>
          </w:p>
        </w:tc>
        <w:tc>
          <w:tcPr>
            <w:tcW w:w="3805"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23,278.50 </w:t>
            </w:r>
          </w:p>
        </w:tc>
      </w:tr>
      <w:tr>
        <w:tblPrEx>
          <w:tblCellMar>
            <w:top w:w="0" w:type="dxa"/>
            <w:left w:w="108" w:type="dxa"/>
            <w:bottom w:w="0" w:type="dxa"/>
            <w:right w:w="108" w:type="dxa"/>
          </w:tblCellMar>
        </w:tblPrEx>
        <w:trPr>
          <w:trHeight w:val="400" w:hRule="atLeast"/>
        </w:trPr>
        <w:tc>
          <w:tcPr>
            <w:tcW w:w="4529"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长沙市科迷口仪器有限公司</w:t>
            </w:r>
          </w:p>
        </w:tc>
        <w:tc>
          <w:tcPr>
            <w:tcW w:w="3805"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24,374.00 </w:t>
            </w:r>
          </w:p>
        </w:tc>
      </w:tr>
      <w:tr>
        <w:tblPrEx>
          <w:tblCellMar>
            <w:top w:w="0" w:type="dxa"/>
            <w:left w:w="108" w:type="dxa"/>
            <w:bottom w:w="0" w:type="dxa"/>
            <w:right w:w="108" w:type="dxa"/>
          </w:tblCellMar>
        </w:tblPrEx>
        <w:trPr>
          <w:trHeight w:val="400" w:hRule="atLeast"/>
        </w:trPr>
        <w:tc>
          <w:tcPr>
            <w:tcW w:w="4529" w:type="dxa"/>
            <w:tcBorders>
              <w:top w:val="dotted"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sz w:val="20"/>
                <w:szCs w:val="20"/>
              </w:rPr>
            </w:pPr>
            <w:r>
              <w:rPr>
                <w:rFonts w:hint="eastAsia" w:ascii="仿宋" w:hAnsi="仿宋" w:eastAsia="仿宋" w:cs="仿宋"/>
                <w:kern w:val="0"/>
                <w:sz w:val="20"/>
                <w:szCs w:val="20"/>
              </w:rPr>
              <w:t>湖南玖可诚生物科技有限公司</w:t>
            </w:r>
          </w:p>
        </w:tc>
        <w:tc>
          <w:tcPr>
            <w:tcW w:w="3805"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sz w:val="20"/>
                <w:szCs w:val="20"/>
              </w:rPr>
            </w:pPr>
            <w:r>
              <w:rPr>
                <w:rFonts w:hint="eastAsia" w:ascii="仿宋" w:hAnsi="仿宋" w:eastAsia="仿宋" w:cs="仿宋"/>
                <w:kern w:val="0"/>
                <w:sz w:val="20"/>
                <w:szCs w:val="20"/>
              </w:rPr>
              <w:t xml:space="preserve">40,940.00 </w:t>
            </w:r>
          </w:p>
        </w:tc>
      </w:tr>
      <w:tr>
        <w:tblPrEx>
          <w:tblCellMar>
            <w:top w:w="0" w:type="dxa"/>
            <w:left w:w="108" w:type="dxa"/>
            <w:bottom w:w="0" w:type="dxa"/>
            <w:right w:w="108" w:type="dxa"/>
          </w:tblCellMar>
        </w:tblPrEx>
        <w:trPr>
          <w:trHeight w:val="400" w:hRule="atLeast"/>
        </w:trPr>
        <w:tc>
          <w:tcPr>
            <w:tcW w:w="4529"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sz w:val="20"/>
                <w:szCs w:val="20"/>
              </w:rPr>
            </w:pPr>
            <w:r>
              <w:rPr>
                <w:rFonts w:hint="eastAsia" w:ascii="仿宋" w:hAnsi="仿宋" w:eastAsia="仿宋" w:cs="仿宋"/>
                <w:b/>
                <w:bCs/>
                <w:kern w:val="0"/>
                <w:sz w:val="20"/>
                <w:szCs w:val="20"/>
              </w:rPr>
              <w:t>合计</w:t>
            </w:r>
          </w:p>
        </w:tc>
        <w:tc>
          <w:tcPr>
            <w:tcW w:w="3805"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sz w:val="20"/>
                <w:szCs w:val="20"/>
              </w:rPr>
            </w:pPr>
            <w:r>
              <w:rPr>
                <w:rFonts w:hint="eastAsia" w:ascii="仿宋" w:hAnsi="仿宋" w:eastAsia="仿宋" w:cs="仿宋"/>
                <w:b/>
                <w:bCs/>
                <w:kern w:val="0"/>
                <w:sz w:val="20"/>
                <w:szCs w:val="20"/>
              </w:rPr>
              <w:t xml:space="preserve">124,604.72 </w:t>
            </w:r>
          </w:p>
        </w:tc>
      </w:tr>
    </w:tbl>
    <w:p>
      <w:pPr>
        <w:numPr>
          <w:ilvl w:val="0"/>
          <w:numId w:val="5"/>
        </w:numPr>
        <w:spacing w:line="560" w:lineRule="exact"/>
        <w:ind w:firstLine="600" w:firstLineChars="200"/>
        <w:jc w:val="left"/>
        <w:rPr>
          <w:rFonts w:ascii="仿宋" w:hAnsi="仿宋" w:eastAsia="仿宋" w:cs="仿宋"/>
          <w:kern w:val="0"/>
          <w:sz w:val="30"/>
          <w:szCs w:val="30"/>
        </w:rPr>
      </w:pPr>
      <w:r>
        <w:rPr>
          <w:rFonts w:hint="eastAsia" w:ascii="仿宋" w:hAnsi="仿宋" w:eastAsia="仿宋" w:cs="仿宋"/>
          <w:sz w:val="30"/>
          <w:szCs w:val="30"/>
        </w:rPr>
        <w:t>邵阳市大祥区板桥乡人民政府实施的“双清区渡头桥镇邵水（大祥段）饮用水水源地环境问题整治”项目，年初项目预算资金人民币2,800,000.00元已到位，</w:t>
      </w:r>
      <w:r>
        <w:rPr>
          <w:rFonts w:hint="eastAsia" w:ascii="仿宋" w:hAnsi="仿宋" w:eastAsia="仿宋" w:cs="仿宋"/>
          <w:kern w:val="0"/>
          <w:sz w:val="30"/>
          <w:szCs w:val="30"/>
        </w:rPr>
        <w:t>截止报告日止，已累计支付资金合计人民币2,714,900.00 元，详细情况汇总列表如下：</w:t>
      </w:r>
    </w:p>
    <w:p>
      <w:pPr>
        <w:spacing w:line="560" w:lineRule="exact"/>
        <w:jc w:val="right"/>
        <w:rPr>
          <w:rFonts w:ascii="仿宋" w:hAnsi="仿宋" w:eastAsia="仿宋" w:cs="仿宋"/>
          <w:szCs w:val="21"/>
        </w:rPr>
      </w:pPr>
      <w:r>
        <w:rPr>
          <w:rFonts w:hint="eastAsia" w:ascii="仿宋" w:hAnsi="仿宋" w:eastAsia="仿宋" w:cs="仿宋"/>
          <w:sz w:val="30"/>
          <w:szCs w:val="30"/>
        </w:rPr>
        <w:t xml:space="preserve">邵水饮用水水源地环境整治支出汇总表     </w:t>
      </w:r>
      <w:r>
        <w:rPr>
          <w:rFonts w:hint="eastAsia" w:ascii="仿宋" w:hAnsi="仿宋" w:eastAsia="仿宋" w:cs="仿宋"/>
          <w:szCs w:val="21"/>
        </w:rPr>
        <w:t>单位：人民币元</w:t>
      </w:r>
    </w:p>
    <w:tbl>
      <w:tblPr>
        <w:tblStyle w:val="6"/>
        <w:tblW w:w="8293" w:type="dxa"/>
        <w:tblInd w:w="93" w:type="dxa"/>
        <w:tblLayout w:type="fixed"/>
        <w:tblCellMar>
          <w:top w:w="0" w:type="dxa"/>
          <w:left w:w="108" w:type="dxa"/>
          <w:bottom w:w="0" w:type="dxa"/>
          <w:right w:w="108" w:type="dxa"/>
        </w:tblCellMar>
      </w:tblPr>
      <w:tblGrid>
        <w:gridCol w:w="4925"/>
        <w:gridCol w:w="3368"/>
      </w:tblGrid>
      <w:tr>
        <w:tblPrEx>
          <w:tblCellMar>
            <w:top w:w="0" w:type="dxa"/>
            <w:left w:w="108" w:type="dxa"/>
            <w:bottom w:w="0" w:type="dxa"/>
            <w:right w:w="108" w:type="dxa"/>
          </w:tblCellMar>
        </w:tblPrEx>
        <w:trPr>
          <w:trHeight w:val="400" w:hRule="atLeast"/>
        </w:trPr>
        <w:tc>
          <w:tcPr>
            <w:tcW w:w="4925" w:type="dxa"/>
            <w:tcBorders>
              <w:top w:val="double"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kern w:val="0"/>
                <w:sz w:val="20"/>
                <w:szCs w:val="20"/>
              </w:rPr>
            </w:pPr>
            <w:r>
              <w:rPr>
                <w:rFonts w:hint="eastAsia" w:ascii="仿宋" w:hAnsi="仿宋" w:eastAsia="仿宋" w:cs="仿宋"/>
                <w:b/>
                <w:bCs/>
                <w:color w:val="000000"/>
                <w:kern w:val="0"/>
                <w:sz w:val="20"/>
                <w:szCs w:val="20"/>
              </w:rPr>
              <w:t>项目名称</w:t>
            </w:r>
          </w:p>
        </w:tc>
        <w:tc>
          <w:tcPr>
            <w:tcW w:w="3368"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color w:val="000000"/>
                <w:kern w:val="0"/>
                <w:sz w:val="20"/>
                <w:szCs w:val="20"/>
              </w:rPr>
            </w:pPr>
            <w:r>
              <w:rPr>
                <w:rFonts w:hint="eastAsia" w:ascii="仿宋" w:hAnsi="仿宋" w:eastAsia="仿宋" w:cs="仿宋"/>
                <w:b/>
                <w:bCs/>
                <w:color w:val="000000"/>
                <w:kern w:val="0"/>
                <w:sz w:val="20"/>
                <w:szCs w:val="20"/>
              </w:rPr>
              <w:t>发生金额</w:t>
            </w:r>
          </w:p>
        </w:tc>
      </w:tr>
      <w:tr>
        <w:tblPrEx>
          <w:tblCellMar>
            <w:top w:w="0" w:type="dxa"/>
            <w:left w:w="108" w:type="dxa"/>
            <w:bottom w:w="0" w:type="dxa"/>
            <w:right w:w="108" w:type="dxa"/>
          </w:tblCellMar>
        </w:tblPrEx>
        <w:trPr>
          <w:trHeight w:val="400" w:hRule="atLeast"/>
        </w:trPr>
        <w:tc>
          <w:tcPr>
            <w:tcW w:w="4925" w:type="dxa"/>
            <w:tcBorders>
              <w:top w:val="single"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中北工程设计咨询有限公司邵阳分公司（可研咨询费）</w:t>
            </w:r>
          </w:p>
        </w:tc>
        <w:tc>
          <w:tcPr>
            <w:tcW w:w="3368"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30,000.00 </w:t>
            </w:r>
          </w:p>
        </w:tc>
      </w:tr>
      <w:tr>
        <w:tblPrEx>
          <w:tblCellMar>
            <w:top w:w="0" w:type="dxa"/>
            <w:left w:w="108" w:type="dxa"/>
            <w:bottom w:w="0" w:type="dxa"/>
            <w:right w:w="108" w:type="dxa"/>
          </w:tblCellMar>
        </w:tblPrEx>
        <w:trPr>
          <w:trHeight w:val="400" w:hRule="atLeast"/>
        </w:trPr>
        <w:tc>
          <w:tcPr>
            <w:tcW w:w="4925"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挖机劳务费（张金云）</w:t>
            </w:r>
          </w:p>
        </w:tc>
        <w:tc>
          <w:tcPr>
            <w:tcW w:w="336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49,000.00 </w:t>
            </w:r>
          </w:p>
        </w:tc>
      </w:tr>
      <w:tr>
        <w:tblPrEx>
          <w:tblCellMar>
            <w:top w:w="0" w:type="dxa"/>
            <w:left w:w="108" w:type="dxa"/>
            <w:bottom w:w="0" w:type="dxa"/>
            <w:right w:w="108" w:type="dxa"/>
          </w:tblCellMar>
        </w:tblPrEx>
        <w:trPr>
          <w:trHeight w:val="400" w:hRule="atLeast"/>
        </w:trPr>
        <w:tc>
          <w:tcPr>
            <w:tcW w:w="4925"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湖南新泓泰项目管理有限责任公司（工程监理服务费）</w:t>
            </w:r>
          </w:p>
        </w:tc>
        <w:tc>
          <w:tcPr>
            <w:tcW w:w="336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58,800.00 </w:t>
            </w:r>
          </w:p>
        </w:tc>
      </w:tr>
      <w:tr>
        <w:tblPrEx>
          <w:tblCellMar>
            <w:top w:w="0" w:type="dxa"/>
            <w:left w:w="108" w:type="dxa"/>
            <w:bottom w:w="0" w:type="dxa"/>
            <w:right w:w="108" w:type="dxa"/>
          </w:tblCellMar>
        </w:tblPrEx>
        <w:trPr>
          <w:trHeight w:val="400" w:hRule="atLeast"/>
        </w:trPr>
        <w:tc>
          <w:tcPr>
            <w:tcW w:w="4925"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挖机劳务费（王艳芳）</w:t>
            </w:r>
          </w:p>
        </w:tc>
        <w:tc>
          <w:tcPr>
            <w:tcW w:w="336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58,045.00 </w:t>
            </w:r>
          </w:p>
        </w:tc>
      </w:tr>
      <w:tr>
        <w:tblPrEx>
          <w:tblCellMar>
            <w:top w:w="0" w:type="dxa"/>
            <w:left w:w="108" w:type="dxa"/>
            <w:bottom w:w="0" w:type="dxa"/>
            <w:right w:w="108" w:type="dxa"/>
          </w:tblCellMar>
        </w:tblPrEx>
        <w:trPr>
          <w:trHeight w:val="400" w:hRule="atLeast"/>
        </w:trPr>
        <w:tc>
          <w:tcPr>
            <w:tcW w:w="4925"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大祥区板桥乡立新村村民委员会（水渠电排建设费用）</w:t>
            </w:r>
          </w:p>
        </w:tc>
        <w:tc>
          <w:tcPr>
            <w:tcW w:w="336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100,000.00 </w:t>
            </w:r>
          </w:p>
        </w:tc>
      </w:tr>
      <w:tr>
        <w:tblPrEx>
          <w:tblCellMar>
            <w:top w:w="0" w:type="dxa"/>
            <w:left w:w="108" w:type="dxa"/>
            <w:bottom w:w="0" w:type="dxa"/>
            <w:right w:w="108" w:type="dxa"/>
          </w:tblCellMar>
        </w:tblPrEx>
        <w:trPr>
          <w:trHeight w:val="400" w:hRule="atLeast"/>
        </w:trPr>
        <w:tc>
          <w:tcPr>
            <w:tcW w:w="4925"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邵阳市规划建筑设计（集团）有限公司</w:t>
            </w:r>
          </w:p>
        </w:tc>
        <w:tc>
          <w:tcPr>
            <w:tcW w:w="336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127,900.00 </w:t>
            </w:r>
          </w:p>
        </w:tc>
      </w:tr>
      <w:tr>
        <w:tblPrEx>
          <w:tblCellMar>
            <w:top w:w="0" w:type="dxa"/>
            <w:left w:w="108" w:type="dxa"/>
            <w:bottom w:w="0" w:type="dxa"/>
            <w:right w:w="108" w:type="dxa"/>
          </w:tblCellMar>
        </w:tblPrEx>
        <w:trPr>
          <w:trHeight w:val="400" w:hRule="atLeast"/>
        </w:trPr>
        <w:tc>
          <w:tcPr>
            <w:tcW w:w="4925"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大祥区板桥乡立新村村民委员会</w:t>
            </w:r>
          </w:p>
        </w:tc>
        <w:tc>
          <w:tcPr>
            <w:tcW w:w="336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503,155.00 </w:t>
            </w:r>
          </w:p>
        </w:tc>
      </w:tr>
      <w:tr>
        <w:tblPrEx>
          <w:tblCellMar>
            <w:top w:w="0" w:type="dxa"/>
            <w:left w:w="108" w:type="dxa"/>
            <w:bottom w:w="0" w:type="dxa"/>
            <w:right w:w="108" w:type="dxa"/>
          </w:tblCellMar>
        </w:tblPrEx>
        <w:trPr>
          <w:trHeight w:val="400" w:hRule="atLeast"/>
        </w:trPr>
        <w:tc>
          <w:tcPr>
            <w:tcW w:w="4925"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湖南鑫磊建筑工程有限公司</w:t>
            </w:r>
          </w:p>
        </w:tc>
        <w:tc>
          <w:tcPr>
            <w:tcW w:w="3368"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788,000.00 </w:t>
            </w:r>
          </w:p>
        </w:tc>
      </w:tr>
      <w:tr>
        <w:tblPrEx>
          <w:tblCellMar>
            <w:top w:w="0" w:type="dxa"/>
            <w:left w:w="108" w:type="dxa"/>
            <w:bottom w:w="0" w:type="dxa"/>
            <w:right w:w="108" w:type="dxa"/>
          </w:tblCellMar>
        </w:tblPrEx>
        <w:trPr>
          <w:trHeight w:val="400" w:hRule="atLeast"/>
        </w:trPr>
        <w:tc>
          <w:tcPr>
            <w:tcW w:w="4925" w:type="dxa"/>
            <w:tcBorders>
              <w:top w:val="dotted"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湖南鑫磊建筑工程有限公司</w:t>
            </w:r>
          </w:p>
        </w:tc>
        <w:tc>
          <w:tcPr>
            <w:tcW w:w="3368"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1,000,000.00 </w:t>
            </w:r>
          </w:p>
        </w:tc>
      </w:tr>
      <w:tr>
        <w:tblPrEx>
          <w:tblCellMar>
            <w:top w:w="0" w:type="dxa"/>
            <w:left w:w="108" w:type="dxa"/>
            <w:bottom w:w="0" w:type="dxa"/>
            <w:right w:w="108" w:type="dxa"/>
          </w:tblCellMar>
        </w:tblPrEx>
        <w:trPr>
          <w:trHeight w:val="400" w:hRule="atLeast"/>
        </w:trPr>
        <w:tc>
          <w:tcPr>
            <w:tcW w:w="4925"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合计</w:t>
            </w:r>
          </w:p>
        </w:tc>
        <w:tc>
          <w:tcPr>
            <w:tcW w:w="3368"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 xml:space="preserve">2,714,900.00 </w:t>
            </w:r>
          </w:p>
        </w:tc>
      </w:tr>
    </w:tbl>
    <w:p>
      <w:pPr>
        <w:numPr>
          <w:ilvl w:val="0"/>
          <w:numId w:val="5"/>
        </w:num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新邵县太芝庙镇人民政府计划实施的“黄梨村环境整治”项目，年初预算资金人民币400,000.00元，已于2022年6月16日到位，资金尚未使用，计划在本年11月完成村内老土坯房的清理拆除与河道整治。</w:t>
      </w:r>
    </w:p>
    <w:p>
      <w:pPr>
        <w:numPr>
          <w:ilvl w:val="0"/>
          <w:numId w:val="5"/>
        </w:numPr>
        <w:spacing w:line="560" w:lineRule="exact"/>
        <w:ind w:firstLine="600" w:firstLineChars="200"/>
        <w:jc w:val="left"/>
        <w:rPr>
          <w:rFonts w:ascii="仿宋" w:hAnsi="仿宋" w:eastAsia="仿宋" w:cs="仿宋"/>
          <w:sz w:val="30"/>
          <w:szCs w:val="30"/>
        </w:rPr>
      </w:pPr>
      <w:r>
        <w:rPr>
          <w:rFonts w:hint="eastAsia" w:ascii="仿宋" w:hAnsi="仿宋" w:eastAsia="仿宋" w:cs="仿宋"/>
          <w:color w:val="000000"/>
          <w:kern w:val="0"/>
          <w:sz w:val="30"/>
          <w:szCs w:val="30"/>
        </w:rPr>
        <w:t>邵阳市生态环境局隆回分局实施的隆回县“农村环境整治”项目，年初项目预算资金人民币600,000.00元，截至报告日止，累计支付项目资金389,800.00元，尚</w:t>
      </w:r>
      <w:r>
        <w:rPr>
          <w:rFonts w:hint="eastAsia" w:ascii="仿宋" w:hAnsi="仿宋" w:eastAsia="仿宋" w:cs="仿宋"/>
          <w:sz w:val="30"/>
          <w:szCs w:val="30"/>
        </w:rPr>
        <w:t>有210,200.00元，涉及21个村级项目，专项资金拨付手续正在办理中。已实施的污染防治项目支出</w:t>
      </w:r>
      <w:r>
        <w:rPr>
          <w:rFonts w:hint="eastAsia" w:ascii="仿宋" w:hAnsi="仿宋" w:eastAsia="仿宋" w:cs="仿宋"/>
          <w:kern w:val="0"/>
          <w:sz w:val="30"/>
          <w:szCs w:val="30"/>
        </w:rPr>
        <w:t>详细情况汇总列表如下：</w:t>
      </w:r>
    </w:p>
    <w:p>
      <w:pPr>
        <w:spacing w:line="560" w:lineRule="exact"/>
        <w:ind w:left="420" w:leftChars="200"/>
        <w:jc w:val="right"/>
        <w:rPr>
          <w:rFonts w:ascii="仿宋" w:hAnsi="仿宋" w:eastAsia="仿宋" w:cs="仿宋"/>
          <w:color w:val="000000"/>
          <w:kern w:val="0"/>
          <w:sz w:val="30"/>
          <w:szCs w:val="30"/>
        </w:rPr>
      </w:pPr>
      <w:r>
        <w:rPr>
          <w:rFonts w:hint="eastAsia" w:ascii="仿宋" w:hAnsi="仿宋" w:eastAsia="仿宋" w:cs="仿宋"/>
          <w:sz w:val="30"/>
          <w:szCs w:val="30"/>
        </w:rPr>
        <w:t xml:space="preserve">农村环境整治项目支出情况汇总表      </w:t>
      </w:r>
      <w:r>
        <w:rPr>
          <w:rFonts w:hint="eastAsia" w:ascii="仿宋" w:hAnsi="仿宋" w:eastAsia="仿宋" w:cs="仿宋"/>
          <w:sz w:val="24"/>
          <w:szCs w:val="24"/>
        </w:rPr>
        <w:t>单位：人民币元</w:t>
      </w:r>
    </w:p>
    <w:tbl>
      <w:tblPr>
        <w:tblStyle w:val="6"/>
        <w:tblW w:w="8429" w:type="dxa"/>
        <w:tblInd w:w="93" w:type="dxa"/>
        <w:tblLayout w:type="fixed"/>
        <w:tblCellMar>
          <w:top w:w="0" w:type="dxa"/>
          <w:left w:w="108" w:type="dxa"/>
          <w:bottom w:w="0" w:type="dxa"/>
          <w:right w:w="108" w:type="dxa"/>
        </w:tblCellMar>
      </w:tblPr>
      <w:tblGrid>
        <w:gridCol w:w="6138"/>
        <w:gridCol w:w="2291"/>
      </w:tblGrid>
      <w:tr>
        <w:tblPrEx>
          <w:tblCellMar>
            <w:top w:w="0" w:type="dxa"/>
            <w:left w:w="108" w:type="dxa"/>
            <w:bottom w:w="0" w:type="dxa"/>
            <w:right w:w="108" w:type="dxa"/>
          </w:tblCellMar>
        </w:tblPrEx>
        <w:trPr>
          <w:trHeight w:val="400" w:hRule="atLeast"/>
        </w:trPr>
        <w:tc>
          <w:tcPr>
            <w:tcW w:w="6138" w:type="dxa"/>
            <w:tcBorders>
              <w:top w:val="double"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kern w:val="0"/>
                <w:sz w:val="20"/>
                <w:szCs w:val="20"/>
              </w:rPr>
            </w:pPr>
            <w:r>
              <w:rPr>
                <w:rFonts w:hint="eastAsia" w:ascii="仿宋" w:hAnsi="仿宋" w:eastAsia="仿宋" w:cs="仿宋"/>
                <w:b/>
                <w:bCs/>
                <w:color w:val="000000"/>
                <w:kern w:val="0"/>
                <w:sz w:val="20"/>
                <w:szCs w:val="20"/>
              </w:rPr>
              <w:t>项目名称</w:t>
            </w:r>
          </w:p>
        </w:tc>
        <w:tc>
          <w:tcPr>
            <w:tcW w:w="2291"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color w:val="000000"/>
                <w:kern w:val="0"/>
                <w:sz w:val="20"/>
                <w:szCs w:val="20"/>
              </w:rPr>
            </w:pPr>
            <w:r>
              <w:rPr>
                <w:rFonts w:hint="eastAsia" w:ascii="仿宋" w:hAnsi="仿宋" w:eastAsia="仿宋" w:cs="仿宋"/>
                <w:b/>
                <w:bCs/>
                <w:color w:val="000000"/>
                <w:kern w:val="0"/>
                <w:sz w:val="20"/>
                <w:szCs w:val="20"/>
              </w:rPr>
              <w:t>支付金额</w:t>
            </w:r>
          </w:p>
        </w:tc>
      </w:tr>
      <w:tr>
        <w:tblPrEx>
          <w:tblCellMar>
            <w:top w:w="0" w:type="dxa"/>
            <w:left w:w="108" w:type="dxa"/>
            <w:bottom w:w="0" w:type="dxa"/>
            <w:right w:w="108" w:type="dxa"/>
          </w:tblCellMar>
        </w:tblPrEx>
        <w:trPr>
          <w:trHeight w:val="400" w:hRule="atLeast"/>
        </w:trPr>
        <w:tc>
          <w:tcPr>
            <w:tcW w:w="6138" w:type="dxa"/>
            <w:tcBorders>
              <w:top w:val="single"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1、兴旺社区</w:t>
            </w:r>
          </w:p>
        </w:tc>
        <w:tc>
          <w:tcPr>
            <w:tcW w:w="2291"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20,000.00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2、阮乐村，畜禽养殖污水处理（肖春华养殖场）</w:t>
            </w:r>
          </w:p>
        </w:tc>
        <w:tc>
          <w:tcPr>
            <w:tcW w:w="2291"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20,000.00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3、红星村2021年污水治理资金</w:t>
            </w:r>
          </w:p>
        </w:tc>
        <w:tc>
          <w:tcPr>
            <w:tcW w:w="2291"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40,000.00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4、隆回县财政国库集中支付办公室（</w:t>
            </w:r>
            <w:r>
              <w:rPr>
                <w:rFonts w:hint="eastAsia" w:ascii="仿宋" w:hAnsi="仿宋" w:eastAsia="仿宋" w:cs="仿宋"/>
                <w:sz w:val="20"/>
                <w:szCs w:val="20"/>
              </w:rPr>
              <w:t>梅树坳水库环境问题整治</w:t>
            </w:r>
            <w:r>
              <w:rPr>
                <w:rFonts w:hint="eastAsia" w:ascii="仿宋" w:hAnsi="仿宋" w:eastAsia="仿宋" w:cs="仿宋"/>
                <w:color w:val="000000"/>
                <w:kern w:val="0"/>
                <w:sz w:val="20"/>
                <w:szCs w:val="20"/>
              </w:rPr>
              <w:t>）</w:t>
            </w:r>
          </w:p>
        </w:tc>
        <w:tc>
          <w:tcPr>
            <w:tcW w:w="2291"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126,000.00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5、小沙江镇居委会2021年度农村环境综合治理资金</w:t>
            </w:r>
          </w:p>
        </w:tc>
        <w:tc>
          <w:tcPr>
            <w:tcW w:w="2291"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6、小沙江镇居委会2021年度农村环境综合治理资金</w:t>
            </w:r>
          </w:p>
        </w:tc>
        <w:tc>
          <w:tcPr>
            <w:tcW w:w="2291"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7、横板桥镇麻场村污染治理资金</w:t>
            </w:r>
          </w:p>
        </w:tc>
        <w:tc>
          <w:tcPr>
            <w:tcW w:w="2291"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8、横板桥镇人民政府农村环境整治</w:t>
            </w:r>
          </w:p>
        </w:tc>
        <w:tc>
          <w:tcPr>
            <w:tcW w:w="2291"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30,000.00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9、横板桥水厂和罗子团水厂西洋江饮用水水源保护区环境问题整治</w:t>
            </w:r>
          </w:p>
        </w:tc>
        <w:tc>
          <w:tcPr>
            <w:tcW w:w="2291"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14,000.00 </w:t>
            </w:r>
          </w:p>
        </w:tc>
      </w:tr>
      <w:tr>
        <w:tblPrEx>
          <w:tblCellMar>
            <w:top w:w="0" w:type="dxa"/>
            <w:left w:w="108" w:type="dxa"/>
            <w:bottom w:w="0" w:type="dxa"/>
            <w:right w:w="108" w:type="dxa"/>
          </w:tblCellMar>
        </w:tblPrEx>
        <w:trPr>
          <w:trHeight w:val="400" w:hRule="atLeast"/>
        </w:trPr>
        <w:tc>
          <w:tcPr>
            <w:tcW w:w="6138" w:type="dxa"/>
            <w:tcBorders>
              <w:top w:val="dotted"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10、2021年隆回县生态环境监测服务费</w:t>
            </w:r>
          </w:p>
        </w:tc>
        <w:tc>
          <w:tcPr>
            <w:tcW w:w="2291"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rPr>
              <w:t xml:space="preserve">49,800.00 </w:t>
            </w:r>
          </w:p>
        </w:tc>
      </w:tr>
      <w:tr>
        <w:tblPrEx>
          <w:tblCellMar>
            <w:top w:w="0" w:type="dxa"/>
            <w:left w:w="108" w:type="dxa"/>
            <w:bottom w:w="0" w:type="dxa"/>
            <w:right w:w="108" w:type="dxa"/>
          </w:tblCellMar>
        </w:tblPrEx>
        <w:trPr>
          <w:trHeight w:val="400" w:hRule="atLeast"/>
        </w:trPr>
        <w:tc>
          <w:tcPr>
            <w:tcW w:w="6138"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合计</w:t>
            </w:r>
          </w:p>
        </w:tc>
        <w:tc>
          <w:tcPr>
            <w:tcW w:w="2291"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color w:val="000000"/>
                <w:sz w:val="20"/>
                <w:szCs w:val="20"/>
              </w:rPr>
            </w:pPr>
            <w:r>
              <w:rPr>
                <w:rFonts w:hint="eastAsia" w:ascii="仿宋" w:hAnsi="仿宋" w:eastAsia="仿宋" w:cs="仿宋"/>
                <w:b/>
                <w:bCs/>
                <w:color w:val="000000"/>
                <w:kern w:val="0"/>
                <w:sz w:val="20"/>
                <w:szCs w:val="20"/>
              </w:rPr>
              <w:t xml:space="preserve">389,800.00 </w:t>
            </w:r>
          </w:p>
        </w:tc>
      </w:tr>
    </w:tbl>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十一）邵阳市生态环境局新邵分局计划实施的“新田铺镇沙子田村、坪上镇金龙村、雀塘镇枫树村、太芝庙镇童家村农村环境保护相关项目和生态文明创建宣传活动”项目，年初预算资金人民币1,200,000.00元,已于2022年4月26日到位，项目尚未全部完工。</w:t>
      </w:r>
    </w:p>
    <w:p>
      <w:pPr>
        <w:spacing w:line="560" w:lineRule="exact"/>
        <w:ind w:firstLine="600" w:firstLineChars="200"/>
        <w:jc w:val="left"/>
        <w:rPr>
          <w:rFonts w:ascii="仿宋" w:hAnsi="仿宋" w:eastAsia="仿宋" w:cs="仿宋"/>
          <w:kern w:val="0"/>
          <w:sz w:val="30"/>
          <w:szCs w:val="30"/>
        </w:rPr>
      </w:pPr>
      <w:r>
        <w:rPr>
          <w:rFonts w:hint="eastAsia" w:ascii="仿宋" w:hAnsi="仿宋" w:eastAsia="仿宋" w:cs="仿宋"/>
          <w:sz w:val="30"/>
          <w:szCs w:val="30"/>
        </w:rPr>
        <w:t>（十二）邵阳市市政工程总公司实施的</w:t>
      </w:r>
      <w:r>
        <w:rPr>
          <w:rFonts w:hint="eastAsia" w:ascii="仿宋" w:hAnsi="仿宋" w:eastAsia="仿宋" w:cs="仿宋"/>
          <w:kern w:val="0"/>
          <w:sz w:val="30"/>
          <w:szCs w:val="30"/>
        </w:rPr>
        <w:t>邵阳市红旗渠河南岸污水管道清淤等环保工程</w:t>
      </w:r>
      <w:r>
        <w:rPr>
          <w:rFonts w:hint="eastAsia" w:ascii="仿宋" w:hAnsi="仿宋" w:eastAsia="仿宋" w:cs="仿宋"/>
          <w:sz w:val="30"/>
          <w:szCs w:val="30"/>
        </w:rPr>
        <w:t>项目，</w:t>
      </w:r>
      <w:r>
        <w:rPr>
          <w:rFonts w:hint="eastAsia" w:ascii="仿宋" w:hAnsi="仿宋" w:eastAsia="仿宋" w:cs="仿宋"/>
          <w:kern w:val="0"/>
          <w:sz w:val="30"/>
          <w:szCs w:val="30"/>
        </w:rPr>
        <w:t xml:space="preserve">预算资金人民币1,000,000.00元，已实际支付项目资金1,393,400.00 元，由于该单位职能职责系承担市政排水管网的管理和维护，超出部分由该单位其他资金弥补。详细支付情况汇总列表如下：            </w:t>
      </w:r>
      <w:r>
        <w:rPr>
          <w:rFonts w:hint="eastAsia" w:ascii="仿宋" w:hAnsi="仿宋" w:eastAsia="仿宋" w:cs="仿宋"/>
          <w:kern w:val="0"/>
          <w:szCs w:val="21"/>
        </w:rPr>
        <w:t>单位：人民币元</w:t>
      </w:r>
    </w:p>
    <w:tbl>
      <w:tblPr>
        <w:tblStyle w:val="6"/>
        <w:tblW w:w="8388" w:type="dxa"/>
        <w:tblInd w:w="93" w:type="dxa"/>
        <w:tblLayout w:type="fixed"/>
        <w:tblCellMar>
          <w:top w:w="0" w:type="dxa"/>
          <w:left w:w="108" w:type="dxa"/>
          <w:bottom w:w="0" w:type="dxa"/>
          <w:right w:w="108" w:type="dxa"/>
        </w:tblCellMar>
      </w:tblPr>
      <w:tblGrid>
        <w:gridCol w:w="4461"/>
        <w:gridCol w:w="3927"/>
      </w:tblGrid>
      <w:tr>
        <w:tblPrEx>
          <w:tblCellMar>
            <w:top w:w="0" w:type="dxa"/>
            <w:left w:w="108" w:type="dxa"/>
            <w:bottom w:w="0" w:type="dxa"/>
            <w:right w:w="108" w:type="dxa"/>
          </w:tblCellMar>
        </w:tblPrEx>
        <w:trPr>
          <w:trHeight w:val="480" w:hRule="atLeast"/>
        </w:trPr>
        <w:tc>
          <w:tcPr>
            <w:tcW w:w="4461" w:type="dxa"/>
            <w:tcBorders>
              <w:top w:val="double"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kern w:val="0"/>
                <w:szCs w:val="21"/>
              </w:rPr>
            </w:pPr>
            <w:r>
              <w:rPr>
                <w:rFonts w:hint="eastAsia" w:ascii="仿宋" w:hAnsi="仿宋" w:eastAsia="仿宋" w:cs="仿宋"/>
                <w:b/>
                <w:bCs/>
                <w:color w:val="000000"/>
                <w:kern w:val="0"/>
                <w:szCs w:val="21"/>
              </w:rPr>
              <w:t>项目名称</w:t>
            </w:r>
          </w:p>
        </w:tc>
        <w:tc>
          <w:tcPr>
            <w:tcW w:w="3927" w:type="dxa"/>
            <w:tcBorders>
              <w:top w:val="double"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b/>
                <w:bCs/>
                <w:color w:val="000000"/>
                <w:kern w:val="0"/>
                <w:szCs w:val="21"/>
              </w:rPr>
            </w:pPr>
            <w:r>
              <w:rPr>
                <w:rFonts w:hint="eastAsia" w:ascii="仿宋" w:hAnsi="仿宋" w:eastAsia="仿宋" w:cs="仿宋"/>
                <w:b/>
                <w:bCs/>
                <w:color w:val="000000"/>
                <w:kern w:val="0"/>
                <w:szCs w:val="21"/>
              </w:rPr>
              <w:t>支付金额</w:t>
            </w:r>
          </w:p>
        </w:tc>
      </w:tr>
      <w:tr>
        <w:tblPrEx>
          <w:tblCellMar>
            <w:top w:w="0" w:type="dxa"/>
            <w:left w:w="108" w:type="dxa"/>
            <w:bottom w:w="0" w:type="dxa"/>
            <w:right w:w="108" w:type="dxa"/>
          </w:tblCellMar>
        </w:tblPrEx>
        <w:trPr>
          <w:trHeight w:val="480" w:hRule="atLeast"/>
        </w:trPr>
        <w:tc>
          <w:tcPr>
            <w:tcW w:w="4461" w:type="dxa"/>
            <w:tcBorders>
              <w:top w:val="single"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1、温德姆污水工程</w:t>
            </w:r>
          </w:p>
        </w:tc>
        <w:tc>
          <w:tcPr>
            <w:tcW w:w="3927" w:type="dxa"/>
            <w:tcBorders>
              <w:top w:val="single"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204,100.00 </w:t>
            </w:r>
          </w:p>
        </w:tc>
      </w:tr>
      <w:tr>
        <w:tblPrEx>
          <w:tblCellMar>
            <w:top w:w="0" w:type="dxa"/>
            <w:left w:w="108" w:type="dxa"/>
            <w:bottom w:w="0" w:type="dxa"/>
            <w:right w:w="108" w:type="dxa"/>
          </w:tblCellMar>
        </w:tblPrEx>
        <w:trPr>
          <w:trHeight w:val="480" w:hRule="atLeast"/>
        </w:trPr>
        <w:tc>
          <w:tcPr>
            <w:tcW w:w="446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2、朱木桥顶管工程</w:t>
            </w:r>
          </w:p>
        </w:tc>
        <w:tc>
          <w:tcPr>
            <w:tcW w:w="3927"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429,400.00 </w:t>
            </w:r>
          </w:p>
        </w:tc>
      </w:tr>
      <w:tr>
        <w:tblPrEx>
          <w:tblCellMar>
            <w:top w:w="0" w:type="dxa"/>
            <w:left w:w="108" w:type="dxa"/>
            <w:bottom w:w="0" w:type="dxa"/>
            <w:right w:w="108" w:type="dxa"/>
          </w:tblCellMar>
        </w:tblPrEx>
        <w:trPr>
          <w:trHeight w:val="480" w:hRule="atLeast"/>
        </w:trPr>
        <w:tc>
          <w:tcPr>
            <w:tcW w:w="446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3、红旗渠朱木桥工程</w:t>
            </w:r>
          </w:p>
        </w:tc>
        <w:tc>
          <w:tcPr>
            <w:tcW w:w="3927"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379,300.00 </w:t>
            </w:r>
          </w:p>
        </w:tc>
      </w:tr>
      <w:tr>
        <w:tblPrEx>
          <w:tblCellMar>
            <w:top w:w="0" w:type="dxa"/>
            <w:left w:w="108" w:type="dxa"/>
            <w:bottom w:w="0" w:type="dxa"/>
            <w:right w:w="108" w:type="dxa"/>
          </w:tblCellMar>
        </w:tblPrEx>
        <w:trPr>
          <w:trHeight w:val="480" w:hRule="atLeast"/>
        </w:trPr>
        <w:tc>
          <w:tcPr>
            <w:tcW w:w="4461" w:type="dxa"/>
            <w:tcBorders>
              <w:top w:val="dotted" w:color="000000" w:sz="4" w:space="0"/>
              <w:left w:val="nil"/>
              <w:bottom w:val="dotted"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4、艺术中心污水工程</w:t>
            </w:r>
          </w:p>
        </w:tc>
        <w:tc>
          <w:tcPr>
            <w:tcW w:w="3927" w:type="dxa"/>
            <w:tcBorders>
              <w:top w:val="dotted" w:color="000000" w:sz="4" w:space="0"/>
              <w:left w:val="dotted" w:color="000000" w:sz="4" w:space="0"/>
              <w:bottom w:val="dotted" w:color="000000" w:sz="4" w:space="0"/>
              <w:right w:val="nil"/>
            </w:tcBorders>
            <w:shd w:val="clear" w:color="auto" w:fill="auto"/>
            <w:noWrap/>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13,300.00 </w:t>
            </w:r>
          </w:p>
        </w:tc>
      </w:tr>
      <w:tr>
        <w:tblPrEx>
          <w:tblCellMar>
            <w:top w:w="0" w:type="dxa"/>
            <w:left w:w="108" w:type="dxa"/>
            <w:bottom w:w="0" w:type="dxa"/>
            <w:right w:w="108" w:type="dxa"/>
          </w:tblCellMar>
        </w:tblPrEx>
        <w:trPr>
          <w:trHeight w:val="480" w:hRule="atLeast"/>
        </w:trPr>
        <w:tc>
          <w:tcPr>
            <w:tcW w:w="4461" w:type="dxa"/>
            <w:tcBorders>
              <w:top w:val="dotted" w:color="000000" w:sz="4" w:space="0"/>
              <w:left w:val="nil"/>
              <w:bottom w:val="sing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color w:val="000000"/>
                <w:szCs w:val="21"/>
              </w:rPr>
            </w:pPr>
            <w:r>
              <w:rPr>
                <w:rFonts w:hint="eastAsia" w:ascii="仿宋" w:hAnsi="仿宋" w:eastAsia="仿宋" w:cs="仿宋"/>
                <w:color w:val="000000"/>
                <w:kern w:val="0"/>
                <w:szCs w:val="21"/>
              </w:rPr>
              <w:t>5、排水管网清淤工程</w:t>
            </w:r>
          </w:p>
        </w:tc>
        <w:tc>
          <w:tcPr>
            <w:tcW w:w="3927" w:type="dxa"/>
            <w:tcBorders>
              <w:top w:val="dotted" w:color="000000" w:sz="4" w:space="0"/>
              <w:left w:val="dotted" w:color="000000" w:sz="4" w:space="0"/>
              <w:bottom w:val="single" w:color="000000" w:sz="4" w:space="0"/>
              <w:right w:val="nil"/>
            </w:tcBorders>
            <w:shd w:val="clear" w:color="auto" w:fill="auto"/>
            <w:noWrap/>
            <w:vAlign w:val="center"/>
          </w:tcPr>
          <w:p>
            <w:pPr>
              <w:widowControl/>
              <w:jc w:val="right"/>
              <w:textAlignment w:val="center"/>
              <w:rPr>
                <w:rFonts w:ascii="仿宋" w:hAnsi="仿宋" w:eastAsia="仿宋" w:cs="仿宋"/>
                <w:color w:val="000000"/>
                <w:szCs w:val="21"/>
              </w:rPr>
            </w:pPr>
            <w:r>
              <w:rPr>
                <w:rFonts w:hint="eastAsia" w:ascii="仿宋" w:hAnsi="仿宋" w:eastAsia="仿宋" w:cs="仿宋"/>
                <w:color w:val="000000"/>
                <w:kern w:val="0"/>
                <w:szCs w:val="21"/>
              </w:rPr>
              <w:t xml:space="preserve">367,300.00 </w:t>
            </w:r>
          </w:p>
        </w:tc>
      </w:tr>
      <w:tr>
        <w:tblPrEx>
          <w:tblCellMar>
            <w:top w:w="0" w:type="dxa"/>
            <w:left w:w="108" w:type="dxa"/>
            <w:bottom w:w="0" w:type="dxa"/>
            <w:right w:w="108" w:type="dxa"/>
          </w:tblCellMar>
        </w:tblPrEx>
        <w:trPr>
          <w:trHeight w:val="480" w:hRule="atLeast"/>
        </w:trPr>
        <w:tc>
          <w:tcPr>
            <w:tcW w:w="4461" w:type="dxa"/>
            <w:tcBorders>
              <w:top w:val="single" w:color="000000" w:sz="4" w:space="0"/>
              <w:left w:val="nil"/>
              <w:bottom w:val="double" w:color="000000" w:sz="4" w:space="0"/>
              <w:right w:val="dotted" w:color="000000" w:sz="4" w:space="0"/>
            </w:tcBorders>
            <w:shd w:val="clear" w:color="auto" w:fill="auto"/>
            <w:noWrap/>
            <w:vAlign w:val="center"/>
          </w:tcPr>
          <w:p>
            <w:pPr>
              <w:widowControl/>
              <w:jc w:val="left"/>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合计</w:t>
            </w:r>
          </w:p>
        </w:tc>
        <w:tc>
          <w:tcPr>
            <w:tcW w:w="3927" w:type="dxa"/>
            <w:tcBorders>
              <w:top w:val="single" w:color="000000" w:sz="4" w:space="0"/>
              <w:left w:val="dotted" w:color="000000" w:sz="4" w:space="0"/>
              <w:bottom w:val="double" w:color="000000" w:sz="4" w:space="0"/>
              <w:right w:val="nil"/>
            </w:tcBorders>
            <w:shd w:val="clear" w:color="auto" w:fill="auto"/>
            <w:noWrap/>
            <w:vAlign w:val="center"/>
          </w:tcPr>
          <w:p>
            <w:pPr>
              <w:widowControl/>
              <w:jc w:val="right"/>
              <w:textAlignment w:val="center"/>
              <w:rPr>
                <w:rFonts w:ascii="仿宋" w:hAnsi="仿宋" w:eastAsia="仿宋" w:cs="仿宋"/>
                <w:b/>
                <w:bCs/>
                <w:color w:val="000000"/>
                <w:szCs w:val="21"/>
              </w:rPr>
            </w:pPr>
            <w:r>
              <w:rPr>
                <w:rFonts w:hint="eastAsia" w:ascii="仿宋" w:hAnsi="仿宋" w:eastAsia="仿宋" w:cs="仿宋"/>
                <w:b/>
                <w:bCs/>
                <w:color w:val="000000"/>
                <w:kern w:val="0"/>
                <w:szCs w:val="21"/>
              </w:rPr>
              <w:t xml:space="preserve">1,393,400.00 </w:t>
            </w:r>
          </w:p>
        </w:tc>
      </w:tr>
    </w:tbl>
    <w:p>
      <w:pPr>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、项目实施情况</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（一）为提高本区域生态环境质量，邵阳市生态环境局主要完成了以下工作：</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编制完成了《邵阳市固体废物污染防治“十四五”规划》；2、2021年完成了市区50个空气网格化检测微型站及监测管理平台建设；3、完成了7个工业窑炉治理项目，16家企业的VOCS综合治理，完成了10家涉铊企业环境问题整治；4、完成了县级及以上和乡镇级饮用水水源地环境保护状况评估工作，督促指导完成了32座乡镇污水处理厂建设和江北污水处理厂、洋溪桥污水处理厂、红旗渠污水处理厂提质改造；5、制定并印发了《邵阳市2021年乡镇级千人以上饮用水水源地生态环境问题专项整治工作方案》，完成全市76个乡镇级千人以上水源地环境问题排查整治；6、对16家涉镉企业进行全面排查，完成洞口县江口镇区域内锰矿开采遗留污染地块土壤污染治理风险管控项目治理，完成了19座乡镇生活垃圾中转设施建设，完成了60个任务村农村环境整治。7、完成430人的行政执法制式服装和标志采购，严肃仪容仪表及执法风纪，推进生态环境文明执法。</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二）由邵阳广播电视台制作《邵阳长江经济带生态环境警示片》，专题片采用纪实的形式，对邵阳存在的长江经济带生态环境问题进行纪实追踪。专题片根据实际需要，制作了120分钟、60分钟、48分钟不同长度的版本，在不同场合、钟对不同对象使用。</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（三）湖南邵阳天子湖国家湿地公园管理处实施的“邵阳县天子湖国家湿地公园建设和生态保护”项目，主要做了以下工作：</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1、天子湖生态旅游度假区概念性规划设计，并编制设计文本；2、天子湖绿道蔡山团入口至渣滩湾栈道、渣滩大坝亮化工程，渣滩大坝亮化工程已完工，蔡山团入口至渣滩湾栈道亮化工程正在施工中；3、蔡山团村美丽庭院建设，工程即将完工；4、望江湖、蔡山团、霞塘云、石子江、真如庵、九洲、烟山、孟家塘等10个村沿湖干线的网络线、电力线、移动线、电信线“四杆”迁建，工程已基本完工；5、水上保洁；6、望江湖村内湖蓝印非遗民俗艺术村规划设计，项目完工；</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（四）由邵阳市双清区渡头桥镇人民政府实施的“邵阳市双清区渡头桥镇邵水饮用水水源地保护施工”项目，主要完成了以下工作：</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1、2021年9月8日与邵阳市建达科技发展有限公司签订《护栏安装合同》，工程如期完工并结算；</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2、2021年7月14日与湖南湘建项目管理有限公司隆回分公司签订《建筑工程造价咨询合同》，委托工作如期完成并结算；</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3、2021年08月27日与湖南省益佳建设监理有限公司邵阳分公司签订《建设工程监理合同》，委托工作如期完成并结算；</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4、2021年7月22日与湖南省建筑科学研究院有限责任公司《建筑工程设计合同》，委托工作如期完成并结算；</w:t>
      </w:r>
    </w:p>
    <w:p>
      <w:pPr>
        <w:numPr>
          <w:ilvl w:val="0"/>
          <w:numId w:val="6"/>
        </w:num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由湖南创迪工程管理咨询有限公司通过竞争性谈判的方式，确定湖南五州环保科技有限公司为建设工程施工方，并于2021年8月27日签订《建筑工程施工合同》，建筑工程如期完工并结算；</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五）由邵阳市双清区火车站乡莲荷村村民委员会实施的“莲荷村农村环境整治”项目，主要完成了以下工作：拆除空心房2栋；拆钢架棚2座；路灯维修、刷漆；除草、处理房前屋后卫生；垃圾转运186车；鸡鸭圈养90户等。</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（六）由湖南省邵阳生态环境监测中心实施的“环境监测”项目，主要完成了以下工作：</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加强空气质量监测，进一步完善省控空气质量监测网。完成“十四五”新增省控环境空气质量监测点位的验收及联网发布工作；完成新增酸雨点位设备安装调试工作；完成颗粒物组分站的招标参数设置工作；对全市9个县城镇空气大气环境监测站点运维情况进行质量监督核查等。</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2、积极开展水环境质量检测。进一步完善水环境质量监测网建设，按期完成辖区内地表水和饮用水、采测分离等常规检测及数据分析上报；每月审核上报河水数据、检测数据、加密检测数据等。</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3、加强土壤和农村环境监测。完成国家网土壤环境监测20个基础点、5个风险点的样品采集和流转工作；完成省级网土壤环境监测4个交通干线、3个底泥点位的样品采集和流转工作等。</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4、有序开展污染源与应急监测。快速响应并全力配合中央环保督察专项监测工作；完成省生态环境厅和省住建厅联合进行的垃圾填埋场监测工作等。</w:t>
      </w:r>
    </w:p>
    <w:p>
      <w:pPr>
        <w:spacing w:line="560" w:lineRule="exact"/>
        <w:ind w:firstLine="600" w:firstLineChars="200"/>
        <w:rPr>
          <w:rFonts w:ascii="仿宋" w:hAnsi="仿宋" w:eastAsia="仿宋" w:cs="仿宋"/>
          <w:color w:val="333333"/>
          <w:sz w:val="30"/>
          <w:szCs w:val="30"/>
          <w:shd w:val="clear" w:color="auto" w:fill="FFFFFF"/>
        </w:rPr>
      </w:pPr>
      <w:r>
        <w:rPr>
          <w:rFonts w:hint="eastAsia" w:ascii="仿宋" w:hAnsi="仿宋" w:eastAsia="仿宋" w:cs="仿宋"/>
          <w:sz w:val="30"/>
          <w:szCs w:val="30"/>
        </w:rPr>
        <w:t>（七）由邵阳市大祥区板桥乡人民政府实施的“双清区渡头桥镇邵水（大祥段）饮用水水源地环境问题整治”项目，主要完成的工作有：采用</w:t>
      </w:r>
      <w:r>
        <w:rPr>
          <w:rFonts w:hint="eastAsia" w:ascii="仿宋" w:hAnsi="仿宋" w:eastAsia="仿宋" w:cs="仿宋"/>
          <w:color w:val="333333"/>
          <w:sz w:val="30"/>
          <w:szCs w:val="30"/>
          <w:shd w:val="clear" w:color="auto" w:fill="FFFFFF"/>
        </w:rPr>
        <w:t>截污主管长约1283米、管径为D400的管道布置于田地内（防洪提内侧），排污。</w:t>
      </w:r>
    </w:p>
    <w:p>
      <w:pPr>
        <w:spacing w:line="560" w:lineRule="exact"/>
        <w:ind w:firstLine="600" w:firstLineChars="200"/>
        <w:rPr>
          <w:rFonts w:ascii="仿宋" w:hAnsi="仿宋" w:eastAsia="仿宋" w:cs="仿宋"/>
          <w:sz w:val="30"/>
          <w:szCs w:val="30"/>
        </w:rPr>
      </w:pPr>
      <w:r>
        <w:rPr>
          <w:rFonts w:hint="eastAsia" w:ascii="仿宋" w:hAnsi="仿宋" w:eastAsia="仿宋" w:cs="仿宋"/>
          <w:color w:val="333333"/>
          <w:sz w:val="30"/>
          <w:szCs w:val="30"/>
          <w:shd w:val="clear" w:color="auto" w:fill="FFFFFF"/>
        </w:rPr>
        <w:t>该项目由政府云采购平台挂网招标，与湖南鑫磊建筑工程有限公司签订金额为345.30万元的施工合同，项目工期约2个月。</w:t>
      </w:r>
    </w:p>
    <w:p>
      <w:pPr>
        <w:numPr>
          <w:ilvl w:val="0"/>
          <w:numId w:val="7"/>
        </w:numPr>
        <w:spacing w:line="560" w:lineRule="exact"/>
        <w:ind w:firstLine="600" w:firstLineChars="200"/>
        <w:jc w:val="left"/>
        <w:rPr>
          <w:rFonts w:ascii="仿宋" w:hAnsi="仿宋" w:eastAsia="仿宋" w:cs="仿宋"/>
          <w:sz w:val="32"/>
          <w:szCs w:val="32"/>
        </w:rPr>
      </w:pPr>
      <w:r>
        <w:rPr>
          <w:rFonts w:hint="eastAsia" w:ascii="仿宋" w:hAnsi="仿宋" w:eastAsia="仿宋" w:cs="仿宋"/>
          <w:color w:val="000000"/>
          <w:kern w:val="0"/>
          <w:sz w:val="30"/>
          <w:szCs w:val="30"/>
        </w:rPr>
        <w:t>新邵县太芝庙镇人民政府计划实施的“黄梨村环境整治”项目，计划在本年11月完成村内老土坯房的清理拆除与河道整治。</w:t>
      </w:r>
    </w:p>
    <w:p>
      <w:pPr>
        <w:numPr>
          <w:ilvl w:val="0"/>
          <w:numId w:val="7"/>
        </w:num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sz w:val="30"/>
          <w:szCs w:val="30"/>
        </w:rPr>
        <w:t>由</w:t>
      </w:r>
      <w:r>
        <w:rPr>
          <w:rFonts w:hint="eastAsia" w:ascii="仿宋" w:hAnsi="仿宋" w:eastAsia="仿宋" w:cs="仿宋"/>
          <w:color w:val="000000"/>
          <w:kern w:val="0"/>
          <w:sz w:val="30"/>
          <w:szCs w:val="30"/>
        </w:rPr>
        <w:t>邵阳市生态环境局隆回分局实施的隆回县“农村环境整治”项目，完成的主要工作包括：</w:t>
      </w:r>
    </w:p>
    <w:p>
      <w:pPr>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sz w:val="30"/>
          <w:szCs w:val="30"/>
        </w:rPr>
        <w:t>1、完成隆回县鸭田镇梅树坳水库饮用水水源保护区环境问题整治（保护区内34户居民农村生活污水整治）；</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2、完成隆回县横板桥镇横板桥水厂西洋江饮用水水源保护区和隆回县横板桥镇罗子团水厂西洋江饮用水水源保护区环境问题整治（两个保护区内4户居民农村生活污水整治）；</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3、完成2021年隆回县生态环境监测；</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4、完成阮乐村肖春华养殖场畜禽养殖污水处理（修建205米排污水沟，收集场内污水，改善环境）；</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5、完成桃花坪街道兴旺社区农村环境卫生整治（购买垃圾桶180个，垃圾手推车5台等，改善居住环境）；</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6、完成小沙江镇居委会农村环境整治（社区改厕，臭水沟改造，购买垃圾桶）；</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7、完成小沙江镇人民政府农村环境整治（改善镇污水处理厂设施，改善街道，村垃圾分类处理设施）；</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8、完成横板桥镇麻场村污染治理（居委会污水塘整治）；</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9、完成横板桥镇人民政府农村环境整治（邵阳考场污水管道和人工湿地清理）；</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10、完成三阁司镇红星村农村环境整治（优化人居环境，购买垃圾桶880个）；</w:t>
      </w:r>
    </w:p>
    <w:p>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sz w:val="30"/>
          <w:szCs w:val="30"/>
        </w:rPr>
        <w:t>（十）由</w:t>
      </w:r>
      <w:r>
        <w:rPr>
          <w:rFonts w:hint="eastAsia" w:ascii="仿宋" w:hAnsi="仿宋" w:eastAsia="仿宋" w:cs="仿宋"/>
          <w:color w:val="000000"/>
          <w:kern w:val="0"/>
          <w:sz w:val="30"/>
          <w:szCs w:val="30"/>
        </w:rPr>
        <w:t>邵阳市生态环境局新邵分局计划实施的“新田铺镇沙子田村、坪上镇金龙村、雀塘镇枫树村、太芝庙镇童家村农村环境保护相关项目和生态文明创建宣传活动”项目，尚未全部完工。</w:t>
      </w:r>
    </w:p>
    <w:p>
      <w:pPr>
        <w:spacing w:line="560" w:lineRule="exact"/>
        <w:ind w:firstLine="600" w:firstLineChars="200"/>
        <w:rPr>
          <w:rFonts w:ascii="仿宋" w:hAnsi="仿宋" w:eastAsia="仿宋" w:cs="仿宋"/>
          <w:sz w:val="30"/>
          <w:szCs w:val="30"/>
        </w:rPr>
      </w:pPr>
      <w:r>
        <w:rPr>
          <w:rFonts w:hint="eastAsia" w:ascii="仿宋" w:hAnsi="仿宋" w:eastAsia="仿宋" w:cs="仿宋"/>
          <w:color w:val="000000"/>
          <w:kern w:val="0"/>
          <w:sz w:val="30"/>
          <w:szCs w:val="30"/>
        </w:rPr>
        <w:t>（十一）</w:t>
      </w:r>
      <w:r>
        <w:rPr>
          <w:rFonts w:hint="eastAsia" w:ascii="仿宋" w:hAnsi="仿宋" w:eastAsia="仿宋" w:cs="仿宋"/>
          <w:kern w:val="0"/>
          <w:sz w:val="30"/>
          <w:szCs w:val="30"/>
        </w:rPr>
        <w:t>由</w:t>
      </w:r>
      <w:r>
        <w:rPr>
          <w:rFonts w:hint="eastAsia" w:ascii="仿宋" w:hAnsi="仿宋" w:eastAsia="仿宋" w:cs="仿宋"/>
          <w:sz w:val="30"/>
          <w:szCs w:val="30"/>
        </w:rPr>
        <w:t>邵阳市市政工程总公司承担的</w:t>
      </w:r>
      <w:r>
        <w:rPr>
          <w:rFonts w:hint="eastAsia" w:ascii="仿宋" w:hAnsi="仿宋" w:eastAsia="仿宋" w:cs="仿宋"/>
          <w:kern w:val="0"/>
          <w:sz w:val="30"/>
          <w:szCs w:val="30"/>
        </w:rPr>
        <w:t>邵阳市红旗渠河南岸污水管道清淤等环保工程</w:t>
      </w:r>
      <w:r>
        <w:rPr>
          <w:rFonts w:hint="eastAsia" w:ascii="仿宋" w:hAnsi="仿宋" w:eastAsia="仿宋" w:cs="仿宋"/>
          <w:sz w:val="30"/>
          <w:szCs w:val="30"/>
        </w:rPr>
        <w:t>项目，由本单位二级部门道路桥梁工程分公司负责实施，总公司机关科室根据职能对下属机构进行业务指导和监督管理，具体实施的项目包括</w:t>
      </w:r>
      <w:r>
        <w:rPr>
          <w:rFonts w:hint="eastAsia" w:ascii="仿宋" w:hAnsi="仿宋" w:eastAsia="仿宋" w:cs="仿宋"/>
          <w:color w:val="000000"/>
          <w:kern w:val="0"/>
          <w:sz w:val="30"/>
          <w:szCs w:val="30"/>
        </w:rPr>
        <w:t>温德姆污水工程</w:t>
      </w:r>
      <w:r>
        <w:rPr>
          <w:rFonts w:hint="eastAsia" w:ascii="仿宋" w:hAnsi="仿宋" w:eastAsia="仿宋" w:cs="仿宋"/>
          <w:sz w:val="30"/>
          <w:szCs w:val="30"/>
        </w:rPr>
        <w:t>，</w:t>
      </w:r>
      <w:r>
        <w:rPr>
          <w:rFonts w:hint="eastAsia" w:ascii="仿宋" w:hAnsi="仿宋" w:eastAsia="仿宋" w:cs="仿宋"/>
          <w:color w:val="000000"/>
          <w:kern w:val="0"/>
          <w:sz w:val="30"/>
          <w:szCs w:val="30"/>
        </w:rPr>
        <w:t>株木桥顶管工程，红旗渠株木桥工程，艺术中心污水工程，排水管网清淤工程等，</w:t>
      </w:r>
      <w:r>
        <w:rPr>
          <w:rFonts w:hint="eastAsia" w:ascii="仿宋" w:hAnsi="仿宋" w:eastAsia="仿宋" w:cs="仿宋"/>
          <w:sz w:val="30"/>
          <w:szCs w:val="30"/>
        </w:rPr>
        <w:t>均已按计划如期完成。</w:t>
      </w:r>
    </w:p>
    <w:p>
      <w:pPr>
        <w:spacing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、制度建设和各项法律法规制度的执行情况</w:t>
      </w:r>
    </w:p>
    <w:p>
      <w:pPr>
        <w:spacing w:line="560" w:lineRule="exact"/>
        <w:ind w:firstLine="600" w:firstLineChars="200"/>
        <w:rPr>
          <w:rFonts w:eastAsia="黑体"/>
          <w:sz w:val="30"/>
          <w:szCs w:val="30"/>
        </w:rPr>
      </w:pPr>
      <w:r>
        <w:rPr>
          <w:rFonts w:hint="eastAsia" w:ascii="仿宋" w:hAnsi="仿宋" w:eastAsia="仿宋" w:cs="仿宋"/>
          <w:sz w:val="30"/>
          <w:szCs w:val="30"/>
        </w:rPr>
        <w:t>（一）制度建设情况</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本项目相关实施单位建立的（或适应的）相关制度主要有专项资金管理相关制度（办法），相关财务管理制度（办法），明确了专项资金的使用范围和管理要求。</w:t>
      </w:r>
    </w:p>
    <w:p>
      <w:pPr>
        <w:tabs>
          <w:tab w:val="left" w:pos="1214"/>
        </w:tabs>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（二）对相关法律法规制度的遵守情况</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1、通过政府采购平台抽取招投标代理公司，严格按照规定流程、标准开展公开招投标工作。</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color w:val="000000"/>
          <w:sz w:val="30"/>
          <w:szCs w:val="30"/>
        </w:rPr>
        <w:t>设计服务，监理服务等服务提供商，严格按照国家相关规定筛选。</w:t>
      </w:r>
      <w:r>
        <w:rPr>
          <w:rFonts w:hint="eastAsia" w:ascii="仿宋" w:hAnsi="仿宋" w:eastAsia="仿宋" w:cs="仿宋"/>
          <w:sz w:val="30"/>
          <w:szCs w:val="30"/>
        </w:rPr>
        <w:t>通过竞争性谈判或</w:t>
      </w:r>
      <w:r>
        <w:rPr>
          <w:rFonts w:hint="eastAsia" w:ascii="仿宋" w:hAnsi="仿宋" w:eastAsia="仿宋" w:cs="仿宋"/>
          <w:color w:val="000000"/>
          <w:kern w:val="0"/>
          <w:sz w:val="30"/>
          <w:szCs w:val="30"/>
        </w:rPr>
        <w:t>竞争性磋商</w:t>
      </w:r>
      <w:r>
        <w:rPr>
          <w:rFonts w:hint="eastAsia" w:ascii="仿宋" w:hAnsi="仿宋" w:eastAsia="仿宋" w:cs="仿宋"/>
          <w:sz w:val="30"/>
          <w:szCs w:val="30"/>
        </w:rPr>
        <w:t>方式确定中标单位，并签订相关合同，相关合同明确了结算方式，质量保证金等。</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3、项目实施单位制定了具体的项目实施方案（或计划了相关事项），严格按照主管部门的要求，积极开展污染防治相关工作。</w:t>
      </w:r>
    </w:p>
    <w:p>
      <w:pPr>
        <w:spacing w:line="560" w:lineRule="exact"/>
        <w:ind w:firstLine="600" w:firstLineChars="200"/>
        <w:rPr>
          <w:rFonts w:eastAsia="黑体"/>
          <w:sz w:val="30"/>
          <w:szCs w:val="30"/>
        </w:rPr>
      </w:pPr>
      <w:r>
        <w:rPr>
          <w:rFonts w:hint="eastAsia" w:ascii="仿宋" w:hAnsi="仿宋" w:eastAsia="仿宋" w:cs="仿宋"/>
          <w:sz w:val="30"/>
          <w:szCs w:val="30"/>
        </w:rPr>
        <w:t>综上所述，项目实施单位较好地遵守了相关法律、法规和制度。</w:t>
      </w:r>
    </w:p>
    <w:p>
      <w:pPr>
        <w:spacing w:line="560" w:lineRule="exact"/>
        <w:ind w:firstLine="602" w:firstLineChars="200"/>
        <w:rPr>
          <w:rFonts w:ascii="仿宋" w:hAnsi="仿宋" w:eastAsia="仿宋" w:cs="仿宋"/>
          <w:b/>
          <w:sz w:val="30"/>
          <w:szCs w:val="30"/>
        </w:rPr>
      </w:pPr>
      <w:r>
        <w:rPr>
          <w:rFonts w:hint="eastAsia" w:ascii="仿宋" w:hAnsi="仿宋" w:eastAsia="仿宋" w:cs="仿宋"/>
          <w:b/>
          <w:sz w:val="30"/>
          <w:szCs w:val="30"/>
          <w:lang w:val="en-US" w:eastAsia="zh-CN"/>
        </w:rPr>
        <w:t>七</w:t>
      </w:r>
      <w:r>
        <w:rPr>
          <w:rFonts w:hint="eastAsia" w:ascii="仿宋" w:hAnsi="仿宋" w:eastAsia="仿宋" w:cs="仿宋"/>
          <w:b/>
          <w:sz w:val="30"/>
          <w:szCs w:val="30"/>
        </w:rPr>
        <w:t>、项目绩效评价情况</w:t>
      </w:r>
    </w:p>
    <w:p>
      <w:pPr>
        <w:spacing w:line="560" w:lineRule="exact"/>
        <w:ind w:firstLine="640" w:firstLineChars="200"/>
        <w:rPr>
          <w:rFonts w:ascii="仿宋" w:hAnsi="仿宋" w:eastAsia="仿宋" w:cs="仿宋"/>
          <w:b/>
          <w:sz w:val="30"/>
          <w:szCs w:val="30"/>
        </w:rPr>
      </w:pPr>
      <w:r>
        <w:rPr>
          <w:rFonts w:hint="eastAsia" w:ascii="仿宋" w:hAnsi="仿宋" w:eastAsia="仿宋" w:cs="仿宋"/>
          <w:bCs/>
          <w:sz w:val="32"/>
          <w:szCs w:val="32"/>
          <w:lang w:bidi="en-US"/>
        </w:rPr>
        <w:t>在邵阳市财政局绩效管理部门的指导下，绩效评价工作组人员在遵循“客观、公正、科学、规范”原则的基础上，采用“以结果为导向、基于证据”的绩效评价方法，对</w:t>
      </w:r>
      <w:r>
        <w:rPr>
          <w:rFonts w:hint="eastAsia" w:ascii="仿宋" w:hAnsi="仿宋" w:eastAsia="仿宋" w:cs="仿宋"/>
          <w:bCs/>
          <w:sz w:val="32"/>
          <w:szCs w:val="32"/>
          <w:lang w:eastAsia="en-US" w:bidi="en-US"/>
        </w:rPr>
        <w:t>项目立项、资金</w:t>
      </w:r>
      <w:r>
        <w:rPr>
          <w:rFonts w:hint="eastAsia" w:ascii="仿宋" w:hAnsi="仿宋" w:eastAsia="仿宋" w:cs="仿宋"/>
          <w:bCs/>
          <w:sz w:val="32"/>
          <w:szCs w:val="32"/>
          <w:lang w:bidi="en-US"/>
        </w:rPr>
        <w:t>投入</w:t>
      </w:r>
      <w:r>
        <w:rPr>
          <w:rFonts w:hint="eastAsia" w:ascii="仿宋" w:hAnsi="仿宋" w:eastAsia="仿宋" w:cs="仿宋"/>
          <w:bCs/>
          <w:sz w:val="32"/>
          <w:szCs w:val="32"/>
          <w:lang w:eastAsia="en-US" w:bidi="en-US"/>
        </w:rPr>
        <w:t>、</w:t>
      </w:r>
      <w:r>
        <w:rPr>
          <w:rFonts w:hint="eastAsia" w:ascii="仿宋" w:hAnsi="仿宋" w:eastAsia="仿宋" w:cs="仿宋"/>
          <w:bCs/>
          <w:sz w:val="32"/>
          <w:szCs w:val="32"/>
          <w:lang w:bidi="en-US"/>
        </w:rPr>
        <w:t>资金</w:t>
      </w:r>
      <w:r>
        <w:rPr>
          <w:rFonts w:hint="eastAsia" w:ascii="仿宋" w:hAnsi="仿宋" w:eastAsia="仿宋" w:cs="仿宋"/>
          <w:bCs/>
          <w:sz w:val="32"/>
          <w:szCs w:val="32"/>
          <w:lang w:eastAsia="en-US" w:bidi="en-US"/>
        </w:rPr>
        <w:t>管理、</w:t>
      </w:r>
      <w:r>
        <w:rPr>
          <w:rFonts w:hint="eastAsia" w:ascii="仿宋" w:hAnsi="仿宋" w:eastAsia="仿宋" w:cs="仿宋"/>
          <w:bCs/>
          <w:sz w:val="32"/>
          <w:szCs w:val="32"/>
          <w:lang w:bidi="en-US"/>
        </w:rPr>
        <w:t>项目产出、</w:t>
      </w:r>
      <w:r>
        <w:rPr>
          <w:rFonts w:hint="eastAsia" w:ascii="仿宋" w:hAnsi="仿宋" w:eastAsia="仿宋" w:cs="仿宋"/>
          <w:bCs/>
          <w:sz w:val="32"/>
          <w:szCs w:val="32"/>
          <w:lang w:eastAsia="en-US" w:bidi="en-US"/>
        </w:rPr>
        <w:t>项目效益</w:t>
      </w:r>
      <w:r>
        <w:rPr>
          <w:rFonts w:hint="eastAsia" w:ascii="仿宋" w:hAnsi="仿宋" w:eastAsia="仿宋" w:cs="仿宋"/>
          <w:bCs/>
          <w:sz w:val="32"/>
          <w:szCs w:val="32"/>
          <w:lang w:bidi="en-US"/>
        </w:rPr>
        <w:t>5</w:t>
      </w:r>
      <w:r>
        <w:rPr>
          <w:rFonts w:hint="eastAsia" w:ascii="仿宋" w:hAnsi="仿宋" w:eastAsia="仿宋" w:cs="仿宋"/>
          <w:bCs/>
          <w:sz w:val="32"/>
          <w:szCs w:val="32"/>
          <w:lang w:eastAsia="en-US" w:bidi="en-US"/>
        </w:rPr>
        <w:t>大项指标逐一进行</w:t>
      </w:r>
      <w:r>
        <w:rPr>
          <w:rFonts w:hint="eastAsia" w:ascii="仿宋" w:hAnsi="仿宋" w:eastAsia="仿宋" w:cs="仿宋"/>
          <w:bCs/>
          <w:sz w:val="32"/>
          <w:szCs w:val="32"/>
          <w:lang w:bidi="en-US"/>
        </w:rPr>
        <w:t>了分解（20个三级指标）并</w:t>
      </w:r>
      <w:r>
        <w:rPr>
          <w:rFonts w:hint="eastAsia" w:ascii="仿宋" w:hAnsi="仿宋" w:eastAsia="仿宋" w:cs="仿宋"/>
          <w:bCs/>
          <w:sz w:val="32"/>
          <w:szCs w:val="32"/>
          <w:lang w:eastAsia="en-US" w:bidi="en-US"/>
        </w:rPr>
        <w:t>评价打分</w:t>
      </w:r>
      <w:r>
        <w:rPr>
          <w:rFonts w:hint="eastAsia" w:ascii="仿宋" w:hAnsi="仿宋" w:eastAsia="仿宋" w:cs="仿宋"/>
          <w:bCs/>
          <w:sz w:val="32"/>
          <w:szCs w:val="32"/>
          <w:lang w:bidi="en-US"/>
        </w:rPr>
        <w:t>，项目总体得分86.8</w:t>
      </w:r>
      <w:r>
        <w:rPr>
          <w:rFonts w:hint="eastAsia" w:ascii="仿宋" w:hAnsi="仿宋" w:eastAsia="仿宋" w:cs="仿宋"/>
          <w:bCs/>
          <w:sz w:val="32"/>
          <w:szCs w:val="32"/>
          <w:lang w:val="en-US" w:eastAsia="zh-CN" w:bidi="en-US"/>
        </w:rPr>
        <w:t>8</w:t>
      </w:r>
      <w:r>
        <w:rPr>
          <w:rFonts w:hint="eastAsia" w:ascii="仿宋" w:hAnsi="仿宋" w:eastAsia="仿宋" w:cs="仿宋"/>
          <w:bCs/>
          <w:sz w:val="32"/>
          <w:szCs w:val="32"/>
          <w:lang w:bidi="en-US"/>
        </w:rPr>
        <w:t>分（按照项目资金占比计算加权平均分值），扣分情况：“项目立项”指标扣1.15分；“资金投入”指标</w:t>
      </w:r>
      <w:r>
        <w:rPr>
          <w:rFonts w:hint="eastAsia" w:ascii="仿宋" w:hAnsi="仿宋" w:eastAsia="仿宋" w:cs="仿宋"/>
          <w:kern w:val="0"/>
          <w:sz w:val="30"/>
          <w:szCs w:val="30"/>
        </w:rPr>
        <w:t>扣0.22分；“资金管理”指标扣6.56分；“</w:t>
      </w:r>
      <w:r>
        <w:rPr>
          <w:rFonts w:hint="eastAsia" w:ascii="仿宋" w:hAnsi="仿宋" w:eastAsia="仿宋" w:cs="仿宋"/>
          <w:bCs/>
          <w:sz w:val="32"/>
          <w:szCs w:val="32"/>
          <w:lang w:bidi="en-US"/>
        </w:rPr>
        <w:t>项目产出”指标扣5.19分。具体评价情况：</w:t>
      </w:r>
    </w:p>
    <w:p>
      <w:pPr>
        <w:spacing w:line="560" w:lineRule="exact"/>
        <w:ind w:firstLine="600" w:firstLineChars="200"/>
        <w:rPr>
          <w:rFonts w:ascii="仿宋" w:hAnsi="仿宋" w:eastAsia="仿宋" w:cs="仿宋"/>
          <w:b/>
          <w:sz w:val="30"/>
          <w:szCs w:val="30"/>
        </w:rPr>
      </w:pPr>
      <w:r>
        <w:rPr>
          <w:rFonts w:hint="eastAsia" w:ascii="仿宋" w:hAnsi="仿宋" w:eastAsia="仿宋" w:cs="仿宋"/>
          <w:bCs/>
          <w:sz w:val="30"/>
          <w:szCs w:val="30"/>
        </w:rPr>
        <w:t>（一）</w:t>
      </w:r>
      <w:r>
        <w:rPr>
          <w:rFonts w:hint="eastAsia" w:ascii="仿宋" w:hAnsi="仿宋" w:eastAsia="仿宋" w:cs="仿宋"/>
          <w:bCs/>
          <w:sz w:val="32"/>
          <w:szCs w:val="32"/>
          <w:lang w:eastAsia="en-US" w:bidi="en-US"/>
        </w:rPr>
        <w:t>项目立项</w:t>
      </w:r>
      <w:r>
        <w:rPr>
          <w:rFonts w:hint="eastAsia" w:ascii="仿宋" w:hAnsi="仿宋" w:eastAsia="仿宋" w:cs="仿宋"/>
          <w:bCs/>
          <w:sz w:val="32"/>
          <w:szCs w:val="32"/>
          <w:lang w:bidi="en-US"/>
        </w:rPr>
        <w:t>（</w:t>
      </w:r>
      <w:r>
        <w:rPr>
          <w:rFonts w:hint="eastAsia" w:ascii="仿宋" w:hAnsi="仿宋" w:eastAsia="仿宋" w:cs="仿宋"/>
          <w:bCs/>
          <w:sz w:val="32"/>
          <w:szCs w:val="32"/>
        </w:rPr>
        <w:t>指标分值9分，评价得分7.85分）</w:t>
      </w:r>
    </w:p>
    <w:p>
      <w:pPr>
        <w:spacing w:line="560" w:lineRule="exact"/>
        <w:ind w:firstLine="600" w:firstLineChars="200"/>
        <w:rPr>
          <w:rFonts w:ascii="仿宋" w:hAnsi="仿宋" w:eastAsia="仿宋" w:cs="仿宋"/>
          <w:kern w:val="0"/>
          <w:sz w:val="30"/>
          <w:szCs w:val="30"/>
        </w:rPr>
      </w:pPr>
      <w:r>
        <w:rPr>
          <w:rFonts w:hint="eastAsia" w:ascii="仿宋_GB2312" w:hAnsi="宋体" w:eastAsia="仿宋" w:cs="仿宋_GB2312"/>
          <w:sz w:val="30"/>
          <w:szCs w:val="30"/>
        </w:rPr>
        <w:t>“环保治理”项目、“</w:t>
      </w:r>
      <w:r>
        <w:rPr>
          <w:rFonts w:hint="eastAsia" w:ascii="仿宋" w:hAnsi="仿宋" w:eastAsia="仿宋" w:cs="仿宋"/>
          <w:kern w:val="0"/>
          <w:sz w:val="30"/>
          <w:szCs w:val="30"/>
        </w:rPr>
        <w:t>长江经济带生态环境警示片”项目、“天子湖建设与生态保护”项目、“</w:t>
      </w:r>
      <w:r>
        <w:rPr>
          <w:rFonts w:hint="eastAsia" w:ascii="仿宋" w:hAnsi="仿宋" w:eastAsia="仿宋" w:cs="仿宋"/>
          <w:sz w:val="30"/>
          <w:szCs w:val="30"/>
        </w:rPr>
        <w:t>渡头桥镇邵水饮用水水源地保护</w:t>
      </w:r>
      <w:r>
        <w:rPr>
          <w:rFonts w:hint="eastAsia" w:ascii="仿宋" w:hAnsi="仿宋" w:eastAsia="仿宋" w:cs="仿宋"/>
          <w:kern w:val="0"/>
          <w:sz w:val="30"/>
          <w:szCs w:val="30"/>
        </w:rPr>
        <w:t>”项目、“莲荷村人居环境整治”项目、“</w:t>
      </w:r>
      <w:r>
        <w:rPr>
          <w:rFonts w:hint="eastAsia" w:ascii="仿宋" w:hAnsi="仿宋" w:eastAsia="仿宋" w:cs="仿宋"/>
          <w:sz w:val="30"/>
          <w:szCs w:val="30"/>
        </w:rPr>
        <w:t>邵水（大祥段）饮用水水源地环境问题整治</w:t>
      </w:r>
      <w:r>
        <w:rPr>
          <w:rFonts w:hint="eastAsia" w:ascii="仿宋" w:hAnsi="仿宋" w:eastAsia="仿宋" w:cs="仿宋"/>
          <w:kern w:val="0"/>
          <w:sz w:val="30"/>
          <w:szCs w:val="30"/>
        </w:rPr>
        <w:t>”项目，因绩效指标细化程度不够。“</w:t>
      </w:r>
      <w:r>
        <w:rPr>
          <w:rFonts w:hint="eastAsia" w:ascii="仿宋_GB2312" w:hAnsi="宋体" w:eastAsia="仿宋_GB2312" w:cs="仿宋_GB2312"/>
          <w:kern w:val="0"/>
          <w:sz w:val="30"/>
          <w:szCs w:val="30"/>
        </w:rPr>
        <w:t>绩效指标明确性</w:t>
      </w:r>
      <w:r>
        <w:rPr>
          <w:rFonts w:hint="eastAsia" w:ascii="仿宋" w:hAnsi="仿宋" w:eastAsia="仿宋" w:cs="仿宋"/>
          <w:kern w:val="0"/>
          <w:sz w:val="30"/>
          <w:szCs w:val="30"/>
        </w:rPr>
        <w:t>”指标按项目资金占比扣分，合计扣分1.15分。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（二）资金投入</w:t>
      </w:r>
      <w:r>
        <w:rPr>
          <w:rFonts w:hint="eastAsia" w:ascii="仿宋" w:hAnsi="仿宋" w:eastAsia="仿宋" w:cs="仿宋"/>
          <w:bCs/>
          <w:sz w:val="32"/>
          <w:szCs w:val="32"/>
          <w:lang w:bidi="en-US"/>
        </w:rPr>
        <w:t>（</w:t>
      </w:r>
      <w:r>
        <w:rPr>
          <w:rFonts w:hint="eastAsia" w:ascii="仿宋" w:hAnsi="仿宋" w:eastAsia="仿宋" w:cs="仿宋"/>
          <w:bCs/>
          <w:sz w:val="32"/>
          <w:szCs w:val="32"/>
        </w:rPr>
        <w:t>指标分值6分，评价得分5.78分）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“黄梨村环境整治”、“ 新田铺镇沙子田村、坪上镇金龙村、雀塘镇枫树村、太芝庙镇童家村农村环境保护相关项目和生态文明创建宣传活动”项目，均未详细编制资金预算。“</w:t>
      </w:r>
      <w:r>
        <w:rPr>
          <w:rFonts w:hint="eastAsia" w:ascii="仿宋_GB2312" w:hAnsi="宋体" w:eastAsia="仿宋_GB2312" w:cs="仿宋_GB2312"/>
          <w:kern w:val="0"/>
          <w:sz w:val="30"/>
          <w:szCs w:val="30"/>
        </w:rPr>
        <w:t>预算编制科学性</w:t>
      </w:r>
      <w:r>
        <w:rPr>
          <w:rFonts w:hint="eastAsia" w:ascii="仿宋" w:hAnsi="仿宋" w:eastAsia="仿宋" w:cs="仿宋"/>
          <w:kern w:val="0"/>
          <w:sz w:val="30"/>
          <w:szCs w:val="30"/>
        </w:rPr>
        <w:t>”、“</w:t>
      </w:r>
      <w:r>
        <w:rPr>
          <w:rFonts w:hint="eastAsia" w:ascii="仿宋_GB2312" w:hAnsi="宋体" w:eastAsia="仿宋_GB2312" w:cs="仿宋_GB2312"/>
          <w:kern w:val="0"/>
          <w:sz w:val="30"/>
          <w:szCs w:val="30"/>
        </w:rPr>
        <w:t>资金分配合理性</w:t>
      </w:r>
      <w:r>
        <w:rPr>
          <w:rFonts w:hint="eastAsia" w:ascii="仿宋" w:hAnsi="仿宋" w:eastAsia="仿宋" w:cs="仿宋"/>
          <w:kern w:val="0"/>
          <w:sz w:val="30"/>
          <w:szCs w:val="30"/>
        </w:rPr>
        <w:t>”指标按项目资金占比扣分，合计扣分0.22分。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（三）资金管理</w:t>
      </w:r>
      <w:r>
        <w:rPr>
          <w:rFonts w:hint="eastAsia" w:ascii="仿宋" w:hAnsi="仿宋" w:eastAsia="仿宋" w:cs="仿宋"/>
          <w:bCs/>
          <w:sz w:val="32"/>
          <w:szCs w:val="32"/>
          <w:lang w:bidi="en-US"/>
        </w:rPr>
        <w:t>（</w:t>
      </w:r>
      <w:r>
        <w:rPr>
          <w:rFonts w:hint="eastAsia" w:ascii="仿宋" w:hAnsi="仿宋" w:eastAsia="仿宋" w:cs="仿宋"/>
          <w:bCs/>
          <w:sz w:val="32"/>
          <w:szCs w:val="32"/>
        </w:rPr>
        <w:t>指标分值25分，评价得分18.44分）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（1）“环境监测”项目资金使用仅为4.45%，“黄梨村环境整治”、“</w:t>
      </w:r>
      <w:r>
        <w:rPr>
          <w:rFonts w:hint="eastAsia" w:ascii="仿宋" w:hAnsi="仿宋" w:eastAsia="仿宋" w:cs="仿宋"/>
          <w:color w:val="FF0000"/>
          <w:sz w:val="30"/>
          <w:szCs w:val="30"/>
        </w:rPr>
        <w:t xml:space="preserve"> </w:t>
      </w:r>
      <w:r>
        <w:rPr>
          <w:rFonts w:hint="eastAsia" w:ascii="仿宋" w:hAnsi="仿宋" w:eastAsia="仿宋" w:cs="仿宋"/>
          <w:kern w:val="0"/>
          <w:sz w:val="30"/>
          <w:szCs w:val="30"/>
        </w:rPr>
        <w:t>新田铺镇沙子田村、坪上镇金龙村、雀塘镇枫树村、太芝庙镇童家村农村环境保护相关项目和生态文明创建宣传活动”项目未全部完工。“预算执</w:t>
      </w:r>
      <w:r>
        <w:rPr>
          <w:rFonts w:hint="eastAsia" w:ascii="仿宋_GB2312" w:hAnsi="宋体" w:eastAsia="仿宋_GB2312" w:cs="仿宋_GB2312"/>
          <w:kern w:val="0"/>
          <w:sz w:val="30"/>
          <w:szCs w:val="30"/>
        </w:rPr>
        <w:t>行率”指标</w:t>
      </w:r>
      <w:r>
        <w:rPr>
          <w:rFonts w:hint="eastAsia" w:ascii="仿宋" w:hAnsi="仿宋" w:eastAsia="仿宋" w:cs="仿宋"/>
          <w:kern w:val="0"/>
          <w:sz w:val="30"/>
          <w:szCs w:val="30"/>
        </w:rPr>
        <w:t>按项目资金占比扣分，合计扣分0.63分。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（2）“黄梨村环境整治”、“</w:t>
      </w:r>
      <w:r>
        <w:rPr>
          <w:rFonts w:hint="eastAsia" w:ascii="仿宋" w:hAnsi="仿宋" w:eastAsia="仿宋" w:cs="仿宋"/>
          <w:color w:val="FF0000"/>
          <w:sz w:val="30"/>
          <w:szCs w:val="30"/>
        </w:rPr>
        <w:t xml:space="preserve"> </w:t>
      </w:r>
      <w:r>
        <w:rPr>
          <w:rFonts w:hint="eastAsia" w:ascii="仿宋" w:hAnsi="仿宋" w:eastAsia="仿宋" w:cs="仿宋"/>
          <w:kern w:val="0"/>
          <w:sz w:val="30"/>
          <w:szCs w:val="30"/>
        </w:rPr>
        <w:t>新田铺镇沙子田村、坪上镇金龙村、雀塘镇枫树村、太芝庙镇童家村农村环境保护相关项目和生态文明创建宣传活动”项目未全部完工，并未全部支付资金。“</w:t>
      </w:r>
      <w:r>
        <w:rPr>
          <w:rFonts w:hint="eastAsia" w:ascii="仿宋_GB2312" w:hAnsi="宋体" w:eastAsia="仿宋_GB2312" w:cs="仿宋_GB2312"/>
          <w:kern w:val="0"/>
          <w:sz w:val="30"/>
          <w:szCs w:val="30"/>
        </w:rPr>
        <w:t>资金使用合规性”指标</w:t>
      </w:r>
      <w:r>
        <w:rPr>
          <w:rFonts w:hint="eastAsia" w:ascii="仿宋" w:hAnsi="仿宋" w:eastAsia="仿宋" w:cs="仿宋"/>
          <w:kern w:val="0"/>
          <w:sz w:val="30"/>
          <w:szCs w:val="30"/>
        </w:rPr>
        <w:t>按项目资金占比扣分，合计扣分0.23分。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（3）</w:t>
      </w:r>
      <w:r>
        <w:rPr>
          <w:rFonts w:hint="eastAsia" w:ascii="仿宋_GB2312" w:hAnsi="宋体" w:eastAsia="仿宋_GB2312" w:cs="仿宋_GB2312"/>
          <w:sz w:val="30"/>
          <w:szCs w:val="30"/>
        </w:rPr>
        <w:t>除“</w:t>
      </w:r>
      <w:r>
        <w:rPr>
          <w:rFonts w:hint="eastAsia" w:ascii="仿宋" w:hAnsi="仿宋" w:eastAsia="仿宋" w:cs="仿宋"/>
          <w:kern w:val="0"/>
          <w:sz w:val="30"/>
          <w:szCs w:val="30"/>
        </w:rPr>
        <w:t>天子湖建设与生态保护”项目外，其他项目未提供相关管理制度或提供的管理制度不全面。“管理制度健全性”指标按项目资金占比扣分，合计扣分2.85分。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（4）</w:t>
      </w:r>
      <w:r>
        <w:rPr>
          <w:rFonts w:hint="eastAsia" w:ascii="仿宋" w:hAnsi="仿宋" w:eastAsia="仿宋" w:cs="仿宋"/>
          <w:sz w:val="30"/>
          <w:szCs w:val="30"/>
        </w:rPr>
        <w:t>除“</w:t>
      </w:r>
      <w:r>
        <w:rPr>
          <w:rFonts w:hint="eastAsia" w:ascii="仿宋" w:hAnsi="仿宋" w:eastAsia="仿宋" w:cs="仿宋"/>
          <w:kern w:val="0"/>
          <w:sz w:val="30"/>
          <w:szCs w:val="30"/>
        </w:rPr>
        <w:t>天子湖建设与生态保护”项目外，其他项目未提供相关管理制度或提供的管理制度不全面，不能完全判断制度执行的有效性。“</w:t>
      </w:r>
      <w:r>
        <w:rPr>
          <w:rFonts w:hint="eastAsia" w:ascii="仿宋_GB2312" w:hAnsi="宋体" w:eastAsia="仿宋_GB2312" w:cs="仿宋_GB2312"/>
          <w:kern w:val="0"/>
          <w:sz w:val="30"/>
          <w:szCs w:val="30"/>
        </w:rPr>
        <w:t>制度执行有效性”指标</w:t>
      </w:r>
      <w:r>
        <w:rPr>
          <w:rFonts w:hint="eastAsia" w:ascii="仿宋" w:hAnsi="仿宋" w:eastAsia="仿宋" w:cs="仿宋"/>
          <w:kern w:val="0"/>
          <w:sz w:val="30"/>
          <w:szCs w:val="30"/>
        </w:rPr>
        <w:t>按项目资金占比扣分，合计扣分2.85分。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（四）</w:t>
      </w:r>
      <w:r>
        <w:rPr>
          <w:rFonts w:hint="eastAsia" w:ascii="仿宋" w:hAnsi="仿宋" w:eastAsia="仿宋" w:cs="仿宋"/>
          <w:bCs/>
          <w:sz w:val="32"/>
          <w:szCs w:val="32"/>
          <w:lang w:bidi="en-US"/>
        </w:rPr>
        <w:t>项目产出（</w:t>
      </w:r>
      <w:r>
        <w:rPr>
          <w:rFonts w:hint="eastAsia" w:ascii="仿宋" w:hAnsi="仿宋" w:eastAsia="仿宋" w:cs="仿宋"/>
          <w:bCs/>
          <w:sz w:val="32"/>
          <w:szCs w:val="32"/>
        </w:rPr>
        <w:t>指标分值20分，评价得分14.81分）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sz w:val="30"/>
          <w:szCs w:val="30"/>
        </w:rPr>
        <w:t>（1）“</w:t>
      </w:r>
      <w:r>
        <w:rPr>
          <w:rFonts w:hint="eastAsia" w:ascii="仿宋" w:hAnsi="仿宋" w:eastAsia="仿宋" w:cs="仿宋"/>
          <w:kern w:val="0"/>
          <w:sz w:val="30"/>
          <w:szCs w:val="30"/>
        </w:rPr>
        <w:t>天子湖建设与生态保护”、“环境监测”、“隆回县农村环境整治”项目未全部完成。“黄梨村环境整治”、“ 新田铺镇沙子田村、坪上镇金龙村、雀塘镇枫树村、太芝庙镇童家村农村环境保护相关项目和生态文明创建宣传活动”项目未及时全部完成。“实际完成率”指标按项目资金占比扣分，合计扣分1.92分。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sz w:val="30"/>
          <w:szCs w:val="30"/>
        </w:rPr>
        <w:t>（2）“</w:t>
      </w:r>
      <w:r>
        <w:rPr>
          <w:rFonts w:hint="eastAsia" w:ascii="仿宋" w:hAnsi="仿宋" w:eastAsia="仿宋" w:cs="仿宋"/>
          <w:kern w:val="0"/>
          <w:sz w:val="30"/>
          <w:szCs w:val="30"/>
        </w:rPr>
        <w:t>天子湖建设与生态保护”项目未全部完工；“</w:t>
      </w:r>
      <w:r>
        <w:rPr>
          <w:rFonts w:hint="eastAsia" w:ascii="仿宋" w:hAnsi="仿宋" w:eastAsia="仿宋" w:cs="仿宋"/>
          <w:sz w:val="30"/>
          <w:szCs w:val="30"/>
        </w:rPr>
        <w:t>邵水饮用水水源地保护施工</w:t>
      </w:r>
      <w:r>
        <w:rPr>
          <w:rFonts w:hint="eastAsia" w:ascii="仿宋" w:hAnsi="仿宋" w:eastAsia="仿宋" w:cs="仿宋"/>
          <w:kern w:val="0"/>
          <w:sz w:val="30"/>
          <w:szCs w:val="30"/>
        </w:rPr>
        <w:t>”、“邵水饮用水水源地环境问题整治”和“莲荷村人居环境整治”项目未提供项目验收报告，“黄梨村环境整治”项目和“新田铺镇沙子田村、坪上镇金龙村、雀塘镇枫树村、太芝庙镇童家村农村环境保护相关项目和生态文明创建宣传活动”项目未及时完成。“质量达标率”指标按项目资金占比扣分，合计扣分1.68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（3）</w:t>
      </w:r>
      <w:r>
        <w:rPr>
          <w:rFonts w:hint="eastAsia" w:ascii="仿宋" w:hAnsi="仿宋" w:eastAsia="仿宋" w:cs="仿宋"/>
          <w:sz w:val="30"/>
          <w:szCs w:val="30"/>
        </w:rPr>
        <w:t>“环保宣传片”、“</w:t>
      </w:r>
      <w:r>
        <w:rPr>
          <w:rFonts w:hint="eastAsia" w:ascii="仿宋" w:hAnsi="仿宋" w:eastAsia="仿宋" w:cs="仿宋"/>
          <w:kern w:val="0"/>
          <w:sz w:val="30"/>
          <w:szCs w:val="30"/>
        </w:rPr>
        <w:t>天子湖建设与生态保护”项目未按计划全部及时完工。“黄梨村环境整治”项目和“新田铺镇沙子田村、坪上镇金龙村、雀塘镇枫树村、太芝庙镇童家村农村环境保护相关项目和生态文明创建宣传活动”项目未及时全部完成。“完成及时率”指标按项目资金占比扣分，合计扣分1.56分。</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（4）</w:t>
      </w:r>
      <w:r>
        <w:rPr>
          <w:rFonts w:hint="eastAsia" w:ascii="仿宋" w:hAnsi="仿宋" w:eastAsia="仿宋" w:cs="仿宋"/>
          <w:sz w:val="30"/>
          <w:szCs w:val="30"/>
        </w:rPr>
        <w:t>“环保宣传片”项目未全部提供财务成本单据</w:t>
      </w:r>
      <w:r>
        <w:rPr>
          <w:rFonts w:hint="eastAsia" w:ascii="仿宋" w:hAnsi="仿宋" w:eastAsia="仿宋" w:cs="仿宋"/>
          <w:kern w:val="0"/>
          <w:sz w:val="30"/>
          <w:szCs w:val="30"/>
        </w:rPr>
        <w:t>。“成本节约率”指标按项目资金占比扣分，合计扣分0.03分。</w:t>
      </w:r>
    </w:p>
    <w:p>
      <w:pPr>
        <w:spacing w:line="560" w:lineRule="exact"/>
        <w:ind w:firstLine="600" w:firstLineChars="200"/>
        <w:rPr>
          <w:rFonts w:ascii="仿宋" w:hAnsi="仿宋" w:eastAsia="仿宋" w:cs="仿宋"/>
          <w:bCs/>
          <w:sz w:val="32"/>
          <w:szCs w:val="32"/>
          <w:lang w:bidi="en-US"/>
        </w:rPr>
      </w:pPr>
      <w:r>
        <w:rPr>
          <w:rFonts w:hint="eastAsia" w:ascii="仿宋" w:hAnsi="仿宋" w:eastAsia="仿宋" w:cs="仿宋"/>
          <w:kern w:val="0"/>
          <w:sz w:val="30"/>
          <w:szCs w:val="30"/>
        </w:rPr>
        <w:t>（五）</w:t>
      </w:r>
      <w:r>
        <w:rPr>
          <w:rFonts w:hint="eastAsia" w:ascii="仿宋" w:hAnsi="仿宋" w:eastAsia="仿宋" w:cs="仿宋"/>
          <w:bCs/>
          <w:sz w:val="32"/>
          <w:szCs w:val="32"/>
          <w:lang w:eastAsia="en-US" w:bidi="en-US"/>
        </w:rPr>
        <w:t>项目效益</w:t>
      </w:r>
      <w:r>
        <w:rPr>
          <w:rFonts w:hint="eastAsia" w:ascii="仿宋" w:hAnsi="仿宋" w:eastAsia="仿宋" w:cs="仿宋"/>
          <w:bCs/>
          <w:sz w:val="32"/>
          <w:szCs w:val="32"/>
          <w:lang w:bidi="en-US"/>
        </w:rPr>
        <w:t>（</w:t>
      </w:r>
      <w:r>
        <w:rPr>
          <w:rFonts w:hint="eastAsia" w:ascii="仿宋" w:hAnsi="仿宋" w:eastAsia="仿宋" w:cs="仿宋"/>
          <w:bCs/>
          <w:sz w:val="32"/>
          <w:szCs w:val="32"/>
        </w:rPr>
        <w:t>指标分值40分，评价得分40分</w:t>
      </w:r>
      <w:r>
        <w:rPr>
          <w:rFonts w:hint="eastAsia" w:ascii="仿宋" w:hAnsi="仿宋" w:eastAsia="仿宋" w:cs="仿宋"/>
          <w:bCs/>
          <w:sz w:val="32"/>
          <w:szCs w:val="32"/>
          <w:lang w:bidi="en-US"/>
        </w:rPr>
        <w:t>）</w:t>
      </w:r>
    </w:p>
    <w:p>
      <w:pPr>
        <w:spacing w:line="560" w:lineRule="exact"/>
        <w:ind w:firstLine="600" w:firstLineChars="200"/>
        <w:rPr>
          <w:rFonts w:ascii="仿宋" w:hAnsi="仿宋" w:eastAsia="仿宋" w:cs="仿宋"/>
          <w:bCs/>
          <w:sz w:val="32"/>
          <w:szCs w:val="32"/>
          <w:lang w:bidi="en-US"/>
        </w:rPr>
      </w:pPr>
      <w:r>
        <w:rPr>
          <w:rFonts w:hint="eastAsia" w:ascii="仿宋" w:hAnsi="仿宋" w:eastAsia="仿宋" w:cs="仿宋"/>
          <w:sz w:val="30"/>
          <w:szCs w:val="30"/>
        </w:rPr>
        <w:t>（1）经济效益</w:t>
      </w:r>
      <w:r>
        <w:rPr>
          <w:rFonts w:hint="eastAsia" w:ascii="仿宋" w:hAnsi="仿宋" w:eastAsia="仿宋" w:cs="仿宋"/>
          <w:bCs/>
          <w:sz w:val="32"/>
          <w:szCs w:val="32"/>
          <w:lang w:bidi="en-US"/>
        </w:rPr>
        <w:t>（</w:t>
      </w:r>
      <w:r>
        <w:rPr>
          <w:rFonts w:hint="eastAsia" w:ascii="仿宋" w:hAnsi="仿宋" w:eastAsia="仿宋" w:cs="仿宋"/>
          <w:bCs/>
          <w:sz w:val="32"/>
          <w:szCs w:val="32"/>
        </w:rPr>
        <w:t>指标分值8分，评价得分8分</w:t>
      </w:r>
      <w:r>
        <w:rPr>
          <w:rFonts w:hint="eastAsia" w:ascii="仿宋" w:hAnsi="仿宋" w:eastAsia="仿宋" w:cs="仿宋"/>
          <w:bCs/>
          <w:sz w:val="32"/>
          <w:szCs w:val="32"/>
          <w:lang w:bidi="en-US"/>
        </w:rPr>
        <w:t>）</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未列支无关费用支出，投入的资金已充分利用，未造成财政资金闲置与浪费；与项目相关的工程施工采用竞争性谈判择优的方式，有效解决了工程施工方面的技术难题，并适当降低施工成本；污染防治相关项目的实施，有利于改善投资环境，促进招商引资和本地经济发展；</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（2）社会效益</w:t>
      </w:r>
      <w:r>
        <w:rPr>
          <w:rFonts w:hint="eastAsia" w:ascii="仿宋" w:hAnsi="仿宋" w:eastAsia="仿宋" w:cs="仿宋"/>
          <w:bCs/>
          <w:sz w:val="32"/>
          <w:szCs w:val="32"/>
          <w:lang w:bidi="en-US"/>
        </w:rPr>
        <w:t>（</w:t>
      </w:r>
      <w:r>
        <w:rPr>
          <w:rFonts w:hint="eastAsia" w:ascii="仿宋" w:hAnsi="仿宋" w:eastAsia="仿宋" w:cs="仿宋"/>
          <w:bCs/>
          <w:sz w:val="32"/>
          <w:szCs w:val="32"/>
        </w:rPr>
        <w:t>指标分值8分，评价得分8分</w:t>
      </w:r>
      <w:r>
        <w:rPr>
          <w:rFonts w:hint="eastAsia" w:ascii="仿宋" w:hAnsi="仿宋" w:eastAsia="仿宋" w:cs="仿宋"/>
          <w:bCs/>
          <w:sz w:val="32"/>
          <w:szCs w:val="32"/>
          <w:lang w:bidi="en-US"/>
        </w:rPr>
        <w:t>）</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通过对本区域内相关污染防治项目的实施，保证本区域内水、气、灰尘颗粒、噪音等能够正常达标排放，达到国家相关环保要求；通过电视专题片，持续不断的相关数据检测以及环保执法检查行动，发现污染防治薄弱环节，及时优先治理；通过实施污染防治相关项目，一定程度改善了城乡局部环境面貌，提高了城乡品质；污染防治工作公开透明，群众拥护；</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kern w:val="0"/>
          <w:sz w:val="30"/>
          <w:szCs w:val="30"/>
        </w:rPr>
        <w:t>生态效益</w:t>
      </w:r>
      <w:r>
        <w:rPr>
          <w:rFonts w:hint="eastAsia" w:ascii="仿宋" w:hAnsi="仿宋" w:eastAsia="仿宋" w:cs="仿宋"/>
          <w:bCs/>
          <w:sz w:val="32"/>
          <w:szCs w:val="32"/>
          <w:lang w:bidi="en-US"/>
        </w:rPr>
        <w:t>（</w:t>
      </w:r>
      <w:r>
        <w:rPr>
          <w:rFonts w:hint="eastAsia" w:ascii="仿宋" w:hAnsi="仿宋" w:eastAsia="仿宋" w:cs="仿宋"/>
          <w:bCs/>
          <w:sz w:val="32"/>
          <w:szCs w:val="32"/>
        </w:rPr>
        <w:t>指标分值8分，评价得分8分</w:t>
      </w:r>
      <w:r>
        <w:rPr>
          <w:rFonts w:hint="eastAsia" w:ascii="仿宋" w:hAnsi="仿宋" w:eastAsia="仿宋" w:cs="仿宋"/>
          <w:bCs/>
          <w:sz w:val="32"/>
          <w:szCs w:val="32"/>
          <w:lang w:bidi="en-US"/>
        </w:rPr>
        <w:t>）</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sz w:val="30"/>
          <w:szCs w:val="30"/>
        </w:rPr>
        <w:t>坚持城乡兼顾，对区域整体进行污染防治，有利于实现人与自然的和谐；</w:t>
      </w:r>
      <w:r>
        <w:rPr>
          <w:rFonts w:hint="eastAsia" w:ascii="仿宋" w:hAnsi="仿宋" w:eastAsia="仿宋" w:cs="仿宋"/>
          <w:kern w:val="0"/>
          <w:sz w:val="30"/>
          <w:szCs w:val="30"/>
        </w:rPr>
        <w:t>通过对本区域整体综合考虑污染防治，更有利于本区域经济持续协同发展；</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（4）</w:t>
      </w:r>
      <w:r>
        <w:rPr>
          <w:rFonts w:hint="eastAsia" w:ascii="仿宋_GB2312" w:hAnsi="宋体" w:eastAsia="仿宋_GB2312" w:cs="仿宋_GB2312"/>
          <w:kern w:val="0"/>
          <w:sz w:val="30"/>
          <w:szCs w:val="30"/>
        </w:rPr>
        <w:t>可持续影响（</w:t>
      </w:r>
      <w:r>
        <w:rPr>
          <w:rFonts w:hint="eastAsia" w:ascii="仿宋" w:hAnsi="仿宋" w:eastAsia="仿宋" w:cs="仿宋"/>
          <w:bCs/>
          <w:sz w:val="30"/>
          <w:szCs w:val="30"/>
        </w:rPr>
        <w:t>指标分值8分，评价得分8分）</w:t>
      </w:r>
    </w:p>
    <w:p>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通过电视专题片，持续不断的相关数据检测以及环保执法检查行动等，实现与相关部门信息共享的可持续发展模式，发现污染防治薄弱环节提前预警；通过对污染防治相关项目管控措施，进一步规范污染防治相关制度和相关流程，构建筛选相关项目并有效防治污染的长效机制。</w:t>
      </w:r>
    </w:p>
    <w:p>
      <w:pPr>
        <w:numPr>
          <w:ilvl w:val="0"/>
          <w:numId w:val="8"/>
        </w:numPr>
        <w:spacing w:line="560" w:lineRule="exact"/>
        <w:ind w:firstLine="600" w:firstLineChars="200"/>
        <w:rPr>
          <w:rFonts w:ascii="仿宋" w:hAnsi="仿宋" w:eastAsia="仿宋" w:cs="仿宋"/>
          <w:bCs/>
          <w:sz w:val="30"/>
          <w:szCs w:val="30"/>
          <w:lang w:bidi="en-US"/>
        </w:rPr>
      </w:pPr>
      <w:r>
        <w:rPr>
          <w:rFonts w:hint="eastAsia" w:ascii="仿宋_GB2312" w:hAnsi="宋体" w:eastAsia="仿宋_GB2312" w:cs="仿宋_GB2312"/>
          <w:kern w:val="0"/>
          <w:sz w:val="30"/>
          <w:szCs w:val="30"/>
        </w:rPr>
        <w:t>社会公众或服务对象满意度</w:t>
      </w:r>
      <w:r>
        <w:rPr>
          <w:rFonts w:hint="eastAsia" w:ascii="仿宋" w:hAnsi="仿宋" w:eastAsia="仿宋" w:cs="仿宋"/>
          <w:bCs/>
          <w:sz w:val="30"/>
          <w:szCs w:val="30"/>
          <w:lang w:bidi="en-US"/>
        </w:rPr>
        <w:t>（</w:t>
      </w:r>
      <w:r>
        <w:rPr>
          <w:rFonts w:hint="eastAsia" w:ascii="仿宋" w:hAnsi="仿宋" w:eastAsia="仿宋" w:cs="仿宋"/>
          <w:bCs/>
          <w:sz w:val="30"/>
          <w:szCs w:val="30"/>
        </w:rPr>
        <w:t>指标分值8分，评价得分8分</w:t>
      </w:r>
      <w:r>
        <w:rPr>
          <w:rFonts w:hint="eastAsia" w:ascii="仿宋" w:hAnsi="仿宋" w:eastAsia="仿宋" w:cs="仿宋"/>
          <w:bCs/>
          <w:sz w:val="30"/>
          <w:szCs w:val="30"/>
          <w:lang w:bidi="en-US"/>
        </w:rPr>
        <w:t>）</w:t>
      </w:r>
    </w:p>
    <w:p>
      <w:pPr>
        <w:spacing w:line="560" w:lineRule="exact"/>
        <w:ind w:firstLine="600" w:firstLineChars="200"/>
        <w:rPr>
          <w:rFonts w:ascii="仿宋" w:hAnsi="仿宋" w:eastAsia="仿宋" w:cs="仿宋"/>
          <w:kern w:val="0"/>
          <w:sz w:val="30"/>
          <w:szCs w:val="30"/>
        </w:rPr>
      </w:pPr>
      <w:r>
        <w:rPr>
          <w:rFonts w:hint="eastAsia" w:ascii="仿宋" w:hAnsi="仿宋" w:eastAsia="仿宋" w:cs="仿宋"/>
          <w:sz w:val="30"/>
          <w:szCs w:val="30"/>
        </w:rPr>
        <w:t>经问卷调查满意度测试和</w:t>
      </w:r>
      <w:r>
        <w:rPr>
          <w:rFonts w:hint="eastAsia" w:ascii="仿宋" w:hAnsi="仿宋" w:eastAsia="仿宋" w:cs="仿宋"/>
          <w:sz w:val="32"/>
          <w:szCs w:val="32"/>
        </w:rPr>
        <w:t>随机走访相关人员，相关人员对该项目有不同程度的了解，经统计，对项目的满意度达95%以上。</w:t>
      </w:r>
    </w:p>
    <w:p>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lang w:val="en-US" w:eastAsia="zh-CN"/>
        </w:rPr>
        <w:t>八</w:t>
      </w:r>
      <w:r>
        <w:rPr>
          <w:rFonts w:hint="eastAsia" w:ascii="仿宋" w:hAnsi="仿宋" w:eastAsia="仿宋" w:cs="仿宋"/>
          <w:b/>
          <w:bCs/>
          <w:sz w:val="32"/>
          <w:szCs w:val="32"/>
        </w:rPr>
        <w:t>、存在的问题</w:t>
      </w:r>
    </w:p>
    <w:p>
      <w:pPr>
        <w:spacing w:line="560" w:lineRule="exact"/>
        <w:ind w:firstLine="600" w:firstLineChars="200"/>
        <w:jc w:val="left"/>
        <w:rPr>
          <w:rFonts w:hint="eastAsia" w:ascii="仿宋" w:hAnsi="仿宋" w:eastAsia="仿宋" w:cs="仿宋"/>
          <w:kern w:val="0"/>
          <w:sz w:val="30"/>
          <w:szCs w:val="30"/>
        </w:rPr>
      </w:pPr>
      <w:r>
        <w:rPr>
          <w:rFonts w:hint="eastAsia" w:ascii="仿宋" w:hAnsi="仿宋" w:eastAsia="仿宋" w:cs="仿宋"/>
          <w:sz w:val="30"/>
          <w:szCs w:val="30"/>
        </w:rPr>
        <w:t>（一）截止目前为止，尚有两个单位污染防治项目实施进展缓慢，具体包括由</w:t>
      </w:r>
      <w:r>
        <w:rPr>
          <w:rFonts w:hint="eastAsia" w:ascii="仿宋" w:hAnsi="仿宋" w:eastAsia="仿宋" w:cs="仿宋"/>
          <w:kern w:val="0"/>
          <w:sz w:val="30"/>
          <w:szCs w:val="30"/>
        </w:rPr>
        <w:t>新邵县太芝庙镇人民政府实施的“黄梨村环境整治”项目和</w:t>
      </w:r>
      <w:r>
        <w:rPr>
          <w:rFonts w:hint="eastAsia" w:ascii="仿宋" w:hAnsi="仿宋" w:eastAsia="仿宋" w:cs="仿宋"/>
          <w:sz w:val="30"/>
          <w:szCs w:val="30"/>
        </w:rPr>
        <w:t>由</w:t>
      </w:r>
      <w:r>
        <w:rPr>
          <w:rFonts w:hint="eastAsia" w:ascii="仿宋" w:hAnsi="仿宋" w:eastAsia="仿宋" w:cs="仿宋"/>
          <w:kern w:val="0"/>
          <w:sz w:val="30"/>
          <w:szCs w:val="30"/>
        </w:rPr>
        <w:t>邵阳市生态环境局新邵分局实施的“新田铺镇沙子田村、坪上镇金龙村、雀塘镇枫树村、太芝庙镇童家村农村环境保护相关项目和生态文明创建宣传活动”项目；</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（二）部分项目实施单位未提供关于本单位实施的污染防治项目具体业务管理制度，因此无法判断其相关制度的健全性以及相关制度执行的有效性，具体包括如下单位：</w:t>
      </w:r>
    </w:p>
    <w:p>
      <w:pPr>
        <w:spacing w:line="560" w:lineRule="exact"/>
        <w:ind w:firstLine="600" w:firstLineChars="200"/>
        <w:jc w:val="left"/>
        <w:rPr>
          <w:rFonts w:ascii="仿宋" w:hAnsi="仿宋" w:eastAsia="仿宋" w:cs="仿宋"/>
          <w:sz w:val="30"/>
          <w:szCs w:val="30"/>
        </w:rPr>
      </w:pPr>
      <w:r>
        <w:rPr>
          <w:rFonts w:hint="eastAsia" w:ascii="仿宋" w:hAnsi="仿宋" w:eastAsia="仿宋" w:cs="仿宋"/>
          <w:kern w:val="0"/>
          <w:sz w:val="30"/>
          <w:szCs w:val="30"/>
        </w:rPr>
        <w:t>邵阳广播电视台；邵阳市双清区渡头桥镇人民政府；双清区火车站乡莲荷村村民委员会；湖南省邵阳生态环境监测中心；邵阳市大祥区板桥乡人民政府；新邵县太芝庙镇人民政府；邵阳市生态环境局隆回分局；邵阳市生态环境局新邵分局；邵阳市市政工程总公司。</w:t>
      </w:r>
    </w:p>
    <w:p>
      <w:pPr>
        <w:numPr>
          <w:ilvl w:val="0"/>
          <w:numId w:val="3"/>
        </w:numPr>
        <w:spacing w:line="560" w:lineRule="exact"/>
        <w:ind w:firstLine="600" w:firstLineChars="200"/>
        <w:jc w:val="left"/>
        <w:rPr>
          <w:rFonts w:ascii="仿宋" w:hAnsi="仿宋" w:eastAsia="仿宋" w:cs="仿宋"/>
          <w:sz w:val="30"/>
          <w:szCs w:val="30"/>
        </w:rPr>
      </w:pPr>
      <w:r>
        <w:rPr>
          <w:rFonts w:hint="eastAsia" w:ascii="仿宋" w:hAnsi="仿宋" w:eastAsia="仿宋" w:cs="仿宋"/>
          <w:sz w:val="30"/>
          <w:szCs w:val="30"/>
        </w:rPr>
        <w:t>部分项目实施单位未提供项目完成的验收报告，因此无法判断其项目完成的准确时间，也无法判断项目完成的质量水平，具体包括如下单位：</w:t>
      </w:r>
    </w:p>
    <w:p>
      <w:pPr>
        <w:spacing w:line="560" w:lineRule="exact"/>
        <w:ind w:firstLine="600" w:firstLineChars="200"/>
        <w:jc w:val="left"/>
        <w:rPr>
          <w:rFonts w:ascii="仿宋" w:hAnsi="仿宋" w:eastAsia="仿宋" w:cs="仿宋"/>
          <w:color w:val="FF0000"/>
          <w:sz w:val="30"/>
          <w:szCs w:val="30"/>
        </w:rPr>
      </w:pPr>
      <w:r>
        <w:rPr>
          <w:rFonts w:hint="eastAsia" w:ascii="仿宋" w:hAnsi="仿宋" w:eastAsia="仿宋" w:cs="仿宋"/>
          <w:kern w:val="0"/>
          <w:sz w:val="30"/>
          <w:szCs w:val="30"/>
        </w:rPr>
        <w:t>湖南邵阳天子湖国家湿地公园管理处；邵阳市双清区渡头桥镇人民政府；双清区火车站乡莲荷村村民委员会；邵阳市大祥区板桥乡人民政府；新邵县太芝庙镇人民政府；邵阳市生态环境局新邵分局；邵阳市市政工程总公司。</w:t>
      </w:r>
    </w:p>
    <w:p>
      <w:pPr>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（四）虽然项目实施单位已按要求开展了2021年度相关项目支出绩效自评，但部分绩效自评报告过于简单，不详细，不规范；</w:t>
      </w:r>
    </w:p>
    <w:p>
      <w:pPr>
        <w:spacing w:line="560" w:lineRule="exac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（五）部分项目绩效目标不够清晰，绩效指标细化不够；</w:t>
      </w:r>
    </w:p>
    <w:p>
      <w:pPr>
        <w:spacing w:line="54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lang w:val="en-US" w:eastAsia="zh-CN"/>
        </w:rPr>
        <w:t>九</w:t>
      </w:r>
      <w:r>
        <w:rPr>
          <w:rFonts w:hint="eastAsia" w:ascii="仿宋" w:hAnsi="仿宋" w:eastAsia="仿宋" w:cs="仿宋"/>
          <w:b/>
          <w:bCs/>
          <w:sz w:val="32"/>
          <w:szCs w:val="32"/>
        </w:rPr>
        <w:t>、相关建议</w:t>
      </w:r>
    </w:p>
    <w:p>
      <w:pPr>
        <w:spacing w:line="560" w:lineRule="exact"/>
        <w:ind w:firstLine="600" w:firstLineChars="200"/>
        <w:jc w:val="left"/>
        <w:rPr>
          <w:rFonts w:ascii="仿宋" w:hAnsi="仿宋" w:eastAsia="仿宋" w:cs="仿宋"/>
          <w:bCs/>
          <w:kern w:val="0"/>
          <w:sz w:val="30"/>
          <w:szCs w:val="30"/>
        </w:rPr>
      </w:pPr>
      <w:r>
        <w:rPr>
          <w:rFonts w:hint="eastAsia" w:ascii="仿宋" w:hAnsi="仿宋" w:eastAsia="仿宋" w:cs="仿宋"/>
          <w:bCs/>
          <w:kern w:val="0"/>
          <w:sz w:val="30"/>
          <w:szCs w:val="30"/>
        </w:rPr>
        <w:t>（一）加强污染防治项目管理，加快项目建设，促进项目早日见成效。市区县政府部门应切实承担起对污染防治的主体责任，加强项目管理，将污染防治的薄弱环节与项目关联起来，做好项目的前期准备工作，包括调研、专家论证和筛选工作，加强项目相关部门的协同配合，保证项目落地顺利。项目实施过程中，敦促项目实施单位加快项目实施进度，及时解决项目实施过程中出现的问题，严格项目审批和招投标手续，同时要求项目实施单位不断提高项目管理水平。</w:t>
      </w:r>
    </w:p>
    <w:p>
      <w:pPr>
        <w:spacing w:line="560" w:lineRule="exact"/>
        <w:ind w:firstLine="600" w:firstLineChars="200"/>
        <w:jc w:val="left"/>
        <w:rPr>
          <w:rFonts w:ascii="仿宋" w:hAnsi="仿宋" w:eastAsia="仿宋" w:cs="仿宋"/>
          <w:bCs/>
          <w:kern w:val="0"/>
          <w:sz w:val="30"/>
          <w:szCs w:val="30"/>
        </w:rPr>
      </w:pPr>
      <w:r>
        <w:rPr>
          <w:rFonts w:hint="eastAsia" w:ascii="仿宋" w:hAnsi="仿宋" w:eastAsia="仿宋" w:cs="仿宋"/>
          <w:bCs/>
          <w:kern w:val="0"/>
          <w:sz w:val="30"/>
          <w:szCs w:val="30"/>
        </w:rPr>
        <w:t>（二）加强污染防治资金管理，保障资金安全，发挥资金使用效益。项目管理部门应加强对资金拨付、资金使用、资金结算和绩效考核等环节的管理和监控，保障资金安全，在项目实施进展顺利的基础上，保证资金及时有效拨付。同时，加强资金使用管理，严格资金使用程序，项目单位严格按照政策要求使用资金。</w:t>
      </w:r>
    </w:p>
    <w:p>
      <w:pPr>
        <w:spacing w:line="560" w:lineRule="exact"/>
        <w:ind w:firstLine="560" w:firstLineChars="200"/>
        <w:jc w:val="left"/>
      </w:pPr>
      <w:r>
        <w:rPr>
          <w:rFonts w:hint="eastAsia" w:ascii="仿宋" w:hAnsi="仿宋" w:eastAsia="仿宋" w:cs="仿宋"/>
          <w:sz w:val="28"/>
          <w:szCs w:val="28"/>
        </w:rPr>
        <w:t>（三）</w:t>
      </w:r>
      <w:r>
        <w:rPr>
          <w:rFonts w:hint="eastAsia" w:ascii="仿宋" w:hAnsi="仿宋" w:eastAsia="仿宋" w:cs="仿宋"/>
          <w:sz w:val="30"/>
          <w:szCs w:val="30"/>
        </w:rPr>
        <w:t>对由</w:t>
      </w:r>
      <w:r>
        <w:rPr>
          <w:rFonts w:hint="eastAsia" w:ascii="仿宋" w:hAnsi="仿宋" w:eastAsia="仿宋" w:cs="仿宋"/>
          <w:kern w:val="0"/>
          <w:sz w:val="30"/>
          <w:szCs w:val="30"/>
        </w:rPr>
        <w:t>新邵县太芝庙镇人民政府计划实施的“黄梨村环境整治”项目和</w:t>
      </w:r>
      <w:r>
        <w:rPr>
          <w:rFonts w:hint="eastAsia" w:ascii="仿宋" w:hAnsi="仿宋" w:eastAsia="仿宋" w:cs="仿宋"/>
          <w:sz w:val="30"/>
          <w:szCs w:val="30"/>
        </w:rPr>
        <w:t>由</w:t>
      </w:r>
      <w:r>
        <w:rPr>
          <w:rFonts w:hint="eastAsia" w:ascii="仿宋" w:hAnsi="仿宋" w:eastAsia="仿宋" w:cs="仿宋"/>
          <w:kern w:val="0"/>
          <w:sz w:val="30"/>
          <w:szCs w:val="30"/>
        </w:rPr>
        <w:t>邵阳市生态环境局新邵分局计划实施的“新田铺镇沙子田村、坪上镇金龙村、雀塘镇枫树村、太芝庙镇童家村农村环境保护相关项目和生态文明创建宣传活动”项目进行后续追踪，加强资金监管，确保在计划（或规定）时间内完成任务。</w:t>
      </w:r>
    </w:p>
    <w:sectPr>
      <w:footerReference r:id="rId3" w:type="default"/>
      <w:pgSz w:w="11906" w:h="16838"/>
      <w:pgMar w:top="1667"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24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A5ADD"/>
    <w:multiLevelType w:val="singleLevel"/>
    <w:tmpl w:val="B4AA5ADD"/>
    <w:lvl w:ilvl="0" w:tentative="0">
      <w:start w:val="1"/>
      <w:numFmt w:val="chineseCounting"/>
      <w:suff w:val="nothing"/>
      <w:lvlText w:val="（%1）"/>
      <w:lvlJc w:val="left"/>
      <w:rPr>
        <w:rFonts w:hint="eastAsia"/>
        <w:b w:val="0"/>
        <w:bCs w:val="0"/>
        <w:color w:val="auto"/>
        <w:sz w:val="28"/>
        <w:szCs w:val="28"/>
      </w:rPr>
    </w:lvl>
  </w:abstractNum>
  <w:abstractNum w:abstractNumId="1">
    <w:nsid w:val="0CE31935"/>
    <w:multiLevelType w:val="singleLevel"/>
    <w:tmpl w:val="0CE31935"/>
    <w:lvl w:ilvl="0" w:tentative="0">
      <w:start w:val="5"/>
      <w:numFmt w:val="decimal"/>
      <w:suff w:val="nothing"/>
      <w:lvlText w:val="%1、"/>
      <w:lvlJc w:val="left"/>
    </w:lvl>
  </w:abstractNum>
  <w:abstractNum w:abstractNumId="2">
    <w:nsid w:val="104B5A54"/>
    <w:multiLevelType w:val="singleLevel"/>
    <w:tmpl w:val="104B5A54"/>
    <w:lvl w:ilvl="0" w:tentative="0">
      <w:start w:val="5"/>
      <w:numFmt w:val="decimal"/>
      <w:suff w:val="nothing"/>
      <w:lvlText w:val="（%1）"/>
      <w:lvlJc w:val="left"/>
    </w:lvl>
  </w:abstractNum>
  <w:abstractNum w:abstractNumId="3">
    <w:nsid w:val="1EBE6F3F"/>
    <w:multiLevelType w:val="singleLevel"/>
    <w:tmpl w:val="1EBE6F3F"/>
    <w:lvl w:ilvl="0" w:tentative="0">
      <w:start w:val="4"/>
      <w:numFmt w:val="decimal"/>
      <w:suff w:val="nothing"/>
      <w:lvlText w:val="（%1）"/>
      <w:lvlJc w:val="left"/>
    </w:lvl>
  </w:abstractNum>
  <w:abstractNum w:abstractNumId="4">
    <w:nsid w:val="34EDF093"/>
    <w:multiLevelType w:val="singleLevel"/>
    <w:tmpl w:val="34EDF093"/>
    <w:lvl w:ilvl="0" w:tentative="0">
      <w:start w:val="2"/>
      <w:numFmt w:val="decimal"/>
      <w:suff w:val="nothing"/>
      <w:lvlText w:val="%1）"/>
      <w:lvlJc w:val="left"/>
    </w:lvl>
  </w:abstractNum>
  <w:abstractNum w:abstractNumId="5">
    <w:nsid w:val="42553228"/>
    <w:multiLevelType w:val="singleLevel"/>
    <w:tmpl w:val="42553228"/>
    <w:lvl w:ilvl="0" w:tentative="0">
      <w:start w:val="8"/>
      <w:numFmt w:val="chineseCounting"/>
      <w:suff w:val="nothing"/>
      <w:lvlText w:val="（%1）"/>
      <w:lvlJc w:val="left"/>
      <w:rPr>
        <w:rFonts w:hint="eastAsia"/>
      </w:rPr>
    </w:lvl>
  </w:abstractNum>
  <w:abstractNum w:abstractNumId="6">
    <w:nsid w:val="629B3D9F"/>
    <w:multiLevelType w:val="singleLevel"/>
    <w:tmpl w:val="629B3D9F"/>
    <w:lvl w:ilvl="0" w:tentative="0">
      <w:start w:val="2"/>
      <w:numFmt w:val="chineseCounting"/>
      <w:suff w:val="nothing"/>
      <w:lvlText w:val="（%1）"/>
      <w:lvlJc w:val="left"/>
      <w:rPr>
        <w:rFonts w:hint="eastAsia"/>
      </w:rPr>
    </w:lvl>
  </w:abstractNum>
  <w:abstractNum w:abstractNumId="7">
    <w:nsid w:val="7858378C"/>
    <w:multiLevelType w:val="singleLevel"/>
    <w:tmpl w:val="7858378C"/>
    <w:lvl w:ilvl="0" w:tentative="0">
      <w:start w:val="8"/>
      <w:numFmt w:val="chineseCounting"/>
      <w:suff w:val="nothing"/>
      <w:lvlText w:val="（%1）"/>
      <w:lvlJc w:val="left"/>
      <w:rPr>
        <w:rFonts w:hint="eastAsia"/>
      </w:rPr>
    </w:lvl>
  </w:abstractNum>
  <w:num w:numId="1">
    <w:abstractNumId w:val="4"/>
  </w:num>
  <w:num w:numId="2">
    <w:abstractNumId w:val="0"/>
  </w:num>
  <w:num w:numId="3">
    <w:abstractNumId w:val="6"/>
  </w:num>
  <w:num w:numId="4">
    <w:abstractNumId w:val="3"/>
  </w:num>
  <w:num w:numId="5">
    <w:abstractNumId w:val="7"/>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TFlNTM2OTM0NmYwMDMwOWM3NjBlYWQ3NzM1NTdjZjYifQ=="/>
    <w:docVar w:name="KSO_WPS_MARK_KEY" w:val="0cb78ee3-c186-4e68-8514-3a8f15c7fcb2"/>
  </w:docVars>
  <w:rsids>
    <w:rsidRoot w:val="00356A48"/>
    <w:rsid w:val="00356A48"/>
    <w:rsid w:val="003B3B22"/>
    <w:rsid w:val="003C68F7"/>
    <w:rsid w:val="005C58F6"/>
    <w:rsid w:val="006F6EBE"/>
    <w:rsid w:val="007070E3"/>
    <w:rsid w:val="007F1B14"/>
    <w:rsid w:val="00826050"/>
    <w:rsid w:val="00857098"/>
    <w:rsid w:val="00864C2C"/>
    <w:rsid w:val="00933093"/>
    <w:rsid w:val="00A3574D"/>
    <w:rsid w:val="00A67D58"/>
    <w:rsid w:val="00B32FC8"/>
    <w:rsid w:val="00C1239D"/>
    <w:rsid w:val="00DD4C8D"/>
    <w:rsid w:val="04024033"/>
    <w:rsid w:val="04FA3A1A"/>
    <w:rsid w:val="05D11D1B"/>
    <w:rsid w:val="066E30C6"/>
    <w:rsid w:val="0A431109"/>
    <w:rsid w:val="0AEE2A27"/>
    <w:rsid w:val="0D570D57"/>
    <w:rsid w:val="0E161335"/>
    <w:rsid w:val="12086E65"/>
    <w:rsid w:val="123253EA"/>
    <w:rsid w:val="1770010E"/>
    <w:rsid w:val="18C9062F"/>
    <w:rsid w:val="196331BE"/>
    <w:rsid w:val="19B63264"/>
    <w:rsid w:val="1C2F5CCD"/>
    <w:rsid w:val="1E05210A"/>
    <w:rsid w:val="1E071E5C"/>
    <w:rsid w:val="1EF03D00"/>
    <w:rsid w:val="1FE45CAA"/>
    <w:rsid w:val="21177FC5"/>
    <w:rsid w:val="213D1BBA"/>
    <w:rsid w:val="2144119B"/>
    <w:rsid w:val="21BB0FE7"/>
    <w:rsid w:val="233832FF"/>
    <w:rsid w:val="23BC326A"/>
    <w:rsid w:val="24BD1C4E"/>
    <w:rsid w:val="259F4BF2"/>
    <w:rsid w:val="26D2561E"/>
    <w:rsid w:val="288822B5"/>
    <w:rsid w:val="2A7A386F"/>
    <w:rsid w:val="2ABE1154"/>
    <w:rsid w:val="2B515890"/>
    <w:rsid w:val="2C6F3683"/>
    <w:rsid w:val="2F320885"/>
    <w:rsid w:val="31777898"/>
    <w:rsid w:val="31EB11BF"/>
    <w:rsid w:val="32F16EB7"/>
    <w:rsid w:val="34E67F69"/>
    <w:rsid w:val="39785753"/>
    <w:rsid w:val="39E03C23"/>
    <w:rsid w:val="3AC54CA3"/>
    <w:rsid w:val="3D29166C"/>
    <w:rsid w:val="3D8E3A72"/>
    <w:rsid w:val="3E802239"/>
    <w:rsid w:val="40234946"/>
    <w:rsid w:val="4102154A"/>
    <w:rsid w:val="42925661"/>
    <w:rsid w:val="42D64DC9"/>
    <w:rsid w:val="42E61C5A"/>
    <w:rsid w:val="432509D4"/>
    <w:rsid w:val="444529B0"/>
    <w:rsid w:val="44456649"/>
    <w:rsid w:val="45340F0D"/>
    <w:rsid w:val="455A1229"/>
    <w:rsid w:val="455E5C44"/>
    <w:rsid w:val="45674C92"/>
    <w:rsid w:val="466F1F67"/>
    <w:rsid w:val="48560D05"/>
    <w:rsid w:val="486755EB"/>
    <w:rsid w:val="48F814D8"/>
    <w:rsid w:val="48FF75D2"/>
    <w:rsid w:val="493C25D4"/>
    <w:rsid w:val="498E71DF"/>
    <w:rsid w:val="49D165D7"/>
    <w:rsid w:val="4B6F44F8"/>
    <w:rsid w:val="4DBE5CAD"/>
    <w:rsid w:val="4DD71BA2"/>
    <w:rsid w:val="4E742140"/>
    <w:rsid w:val="4E9949C2"/>
    <w:rsid w:val="4ECF5908"/>
    <w:rsid w:val="4F91796E"/>
    <w:rsid w:val="505D39A6"/>
    <w:rsid w:val="5060129E"/>
    <w:rsid w:val="51E33248"/>
    <w:rsid w:val="54D2344E"/>
    <w:rsid w:val="563656F1"/>
    <w:rsid w:val="57574A7D"/>
    <w:rsid w:val="578A576C"/>
    <w:rsid w:val="5A274BDA"/>
    <w:rsid w:val="5A566DF5"/>
    <w:rsid w:val="5B615ECA"/>
    <w:rsid w:val="5BCF3EEF"/>
    <w:rsid w:val="5BF14385"/>
    <w:rsid w:val="5C2D3FFE"/>
    <w:rsid w:val="5DDA6ACE"/>
    <w:rsid w:val="5E6737F7"/>
    <w:rsid w:val="60793CB6"/>
    <w:rsid w:val="60B26CE0"/>
    <w:rsid w:val="619743F4"/>
    <w:rsid w:val="61C45A81"/>
    <w:rsid w:val="61F335F4"/>
    <w:rsid w:val="62FE23AD"/>
    <w:rsid w:val="649F4ADE"/>
    <w:rsid w:val="65FD6D10"/>
    <w:rsid w:val="669B3CF0"/>
    <w:rsid w:val="681156B2"/>
    <w:rsid w:val="68B35978"/>
    <w:rsid w:val="68FD71B5"/>
    <w:rsid w:val="69332456"/>
    <w:rsid w:val="69C8514C"/>
    <w:rsid w:val="6AD279D0"/>
    <w:rsid w:val="6EBA3E17"/>
    <w:rsid w:val="6EEE0B24"/>
    <w:rsid w:val="6FA55EAE"/>
    <w:rsid w:val="6FC15805"/>
    <w:rsid w:val="767A3987"/>
    <w:rsid w:val="76C515AB"/>
    <w:rsid w:val="77EE068E"/>
    <w:rsid w:val="79F91E2B"/>
    <w:rsid w:val="7CBC0A1C"/>
    <w:rsid w:val="7DA30A3A"/>
    <w:rsid w:val="7F25708B"/>
    <w:rsid w:val="7F533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12042</Words>
  <Characters>14078</Characters>
  <Lines>106</Lines>
  <Paragraphs>30</Paragraphs>
  <TotalTime>108</TotalTime>
  <ScaleCrop>false</ScaleCrop>
  <LinksUpToDate>false</LinksUpToDate>
  <CharactersWithSpaces>14354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2022-06-30T01:01:00Z</dcterms:created>
  <dc:creator>Administrator</dc:creator>
  <cp:lastModifiedBy>1402836399</cp:lastModifiedBy>
  <cp:lastPrinted>2022-11-23T07:47:00Z</cp:lastPrinted>
  <dcterms:modified xsi:type="dcterms:W3CDTF">2024-09-04T00:35:27Z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021DB5FCB16A4B74B29F29D5C745FCC2</vt:lpwstr>
  </property>
</Properties>
</file>