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shd w:val="clear"/>
        <w:kinsoku/>
        <w:wordWrap/>
        <w:overflowPunct/>
        <w:topLinePunct w:val="0"/>
        <w:autoSpaceDE/>
        <w:autoSpaceDN/>
        <w:bidi w:val="0"/>
        <w:adjustRightInd/>
        <w:snapToGrid/>
        <w:spacing w:line="360" w:lineRule="auto"/>
        <w:jc w:val="center"/>
        <w:textAlignment w:val="auto"/>
        <w:outlineLvl w:val="0"/>
        <w:rPr>
          <w:rFonts w:hint="eastAsia" w:ascii="宋体" w:hAnsi="宋体" w:eastAsia="宋体" w:cs="宋体"/>
          <w:sz w:val="44"/>
          <w:szCs w:val="44"/>
          <w:highlight w:val="none"/>
        </w:rPr>
      </w:pPr>
      <w:bookmarkStart w:id="0" w:name="_Toc24978"/>
      <w:r>
        <w:rPr>
          <w:rFonts w:hint="eastAsia" w:ascii="宋体" w:hAnsi="宋体" w:eastAsia="宋体" w:cs="宋体"/>
          <w:b/>
          <w:bCs/>
          <w:sz w:val="44"/>
          <w:szCs w:val="44"/>
          <w:highlight w:val="none"/>
          <w:lang w:val="en-US" w:eastAsia="zh-CN"/>
        </w:rPr>
        <w:t>2021年度</w:t>
      </w:r>
      <w:r>
        <w:rPr>
          <w:rFonts w:hint="eastAsia" w:ascii="宋体" w:hAnsi="宋体" w:eastAsia="宋体" w:cs="宋体"/>
          <w:b/>
          <w:bCs/>
          <w:sz w:val="44"/>
          <w:szCs w:val="44"/>
          <w:highlight w:val="none"/>
          <w:lang w:eastAsia="zh-CN"/>
        </w:rPr>
        <w:t>邵阳经开区配套区公共基础设施项目专项资金</w:t>
      </w:r>
      <w:r>
        <w:rPr>
          <w:rFonts w:hint="eastAsia" w:ascii="宋体" w:hAnsi="宋体" w:eastAsia="宋体" w:cs="宋体"/>
          <w:b/>
          <w:bCs/>
          <w:sz w:val="44"/>
          <w:szCs w:val="44"/>
          <w:highlight w:val="none"/>
        </w:rPr>
        <w:t>绩效评价报告</w:t>
      </w:r>
      <w:bookmarkEnd w:id="0"/>
    </w:p>
    <w:p>
      <w:pPr>
        <w:keepNext w:val="0"/>
        <w:keepLines w:val="0"/>
        <w:pageBreakBefore w:val="0"/>
        <w:widowControl w:val="0"/>
        <w:shd w:val="clear"/>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highlight w:val="none"/>
          <w:lang w:val="en-US" w:eastAsia="zh-CN"/>
        </w:rPr>
      </w:pPr>
      <w:bookmarkStart w:id="1" w:name="_Toc390267051"/>
    </w:p>
    <w:p>
      <w:pPr>
        <w:keepNext w:val="0"/>
        <w:keepLines w:val="0"/>
        <w:pageBreakBefore w:val="0"/>
        <w:widowControl w:val="0"/>
        <w:shd w:val="clear"/>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pacing w:val="-8"/>
          <w:sz w:val="32"/>
          <w:szCs w:val="32"/>
          <w:highlight w:val="none"/>
        </w:rPr>
      </w:pPr>
      <w:r>
        <w:rPr>
          <w:rFonts w:hint="eastAsia" w:ascii="仿宋" w:hAnsi="仿宋" w:eastAsia="仿宋" w:cs="仿宋"/>
          <w:sz w:val="32"/>
          <w:szCs w:val="32"/>
          <w:highlight w:val="none"/>
          <w:lang w:val="en-US" w:eastAsia="zh-CN"/>
        </w:rPr>
        <w:t>根据《中共中央 国务院关于全面实施预算绩效管理的意见》（中发〔2018〕34号）、《中共湖南省委办公厅 湖南省人民政府办公厅关于全面实施预算绩效管理的实施意见》（湘办发〔2019〕10号）和《湖南省财政厅关于印发湖南省预算支出绩效评价管理办法的通知》（湘财绩〔2020〕7号）等有关规定，</w:t>
      </w:r>
      <w:r>
        <w:rPr>
          <w:rFonts w:hint="eastAsia" w:ascii="仿宋" w:hAnsi="仿宋" w:eastAsia="仿宋" w:cs="仿宋"/>
          <w:spacing w:val="-8"/>
          <w:sz w:val="32"/>
          <w:szCs w:val="32"/>
          <w:highlight w:val="none"/>
          <w:lang w:eastAsia="zh-CN"/>
        </w:rPr>
        <w:t>按照</w:t>
      </w:r>
      <w:r>
        <w:rPr>
          <w:rFonts w:hint="eastAsia" w:ascii="仿宋" w:hAnsi="仿宋" w:eastAsia="仿宋" w:cs="仿宋"/>
          <w:spacing w:val="-8"/>
          <w:sz w:val="32"/>
          <w:szCs w:val="32"/>
          <w:highlight w:val="none"/>
        </w:rPr>
        <w:t>《</w:t>
      </w:r>
      <w:r>
        <w:rPr>
          <w:rFonts w:hint="eastAsia" w:ascii="仿宋" w:hAnsi="仿宋" w:eastAsia="仿宋" w:cs="仿宋"/>
          <w:spacing w:val="-8"/>
          <w:sz w:val="32"/>
          <w:szCs w:val="32"/>
          <w:highlight w:val="none"/>
          <w:lang w:eastAsia="zh-CN"/>
        </w:rPr>
        <w:t>邵阳市财政局关于开展2021年度邵阳经开区配套区公共基础设施项目专项资金绩效评价工作的通知</w:t>
      </w:r>
      <w:r>
        <w:rPr>
          <w:rFonts w:hint="eastAsia" w:ascii="仿宋" w:hAnsi="仿宋" w:eastAsia="仿宋" w:cs="仿宋"/>
          <w:spacing w:val="-8"/>
          <w:sz w:val="32"/>
          <w:szCs w:val="32"/>
          <w:highlight w:val="none"/>
        </w:rPr>
        <w:t>》（</w:t>
      </w:r>
      <w:r>
        <w:rPr>
          <w:rFonts w:hint="eastAsia" w:ascii="仿宋" w:hAnsi="仿宋" w:eastAsia="仿宋" w:cs="仿宋"/>
          <w:spacing w:val="-8"/>
          <w:sz w:val="32"/>
          <w:szCs w:val="32"/>
          <w:highlight w:val="none"/>
          <w:lang w:eastAsia="zh-CN"/>
        </w:rPr>
        <w:t>邵</w:t>
      </w:r>
      <w:r>
        <w:rPr>
          <w:rFonts w:hint="eastAsia" w:ascii="仿宋" w:hAnsi="仿宋" w:eastAsia="仿宋" w:cs="仿宋"/>
          <w:spacing w:val="-8"/>
          <w:sz w:val="32"/>
          <w:szCs w:val="32"/>
          <w:highlight w:val="none"/>
        </w:rPr>
        <w:t>财绩〔202</w:t>
      </w:r>
      <w:r>
        <w:rPr>
          <w:rFonts w:hint="eastAsia" w:ascii="仿宋" w:hAnsi="仿宋" w:eastAsia="仿宋" w:cs="仿宋"/>
          <w:spacing w:val="-8"/>
          <w:sz w:val="32"/>
          <w:szCs w:val="32"/>
          <w:highlight w:val="none"/>
          <w:lang w:val="en-US" w:eastAsia="zh-CN"/>
        </w:rPr>
        <w:t>2</w:t>
      </w:r>
      <w:r>
        <w:rPr>
          <w:rFonts w:hint="eastAsia" w:ascii="仿宋" w:hAnsi="仿宋" w:eastAsia="仿宋" w:cs="仿宋"/>
          <w:spacing w:val="-8"/>
          <w:sz w:val="32"/>
          <w:szCs w:val="32"/>
          <w:highlight w:val="none"/>
        </w:rPr>
        <w:t>〕</w:t>
      </w:r>
      <w:r>
        <w:rPr>
          <w:rFonts w:hint="eastAsia" w:ascii="仿宋" w:hAnsi="仿宋" w:eastAsia="仿宋" w:cs="仿宋"/>
          <w:spacing w:val="-8"/>
          <w:sz w:val="32"/>
          <w:szCs w:val="32"/>
          <w:highlight w:val="none"/>
          <w:lang w:val="en-US" w:eastAsia="zh-CN"/>
        </w:rPr>
        <w:t>14</w:t>
      </w:r>
      <w:r>
        <w:rPr>
          <w:rFonts w:hint="eastAsia" w:ascii="仿宋" w:hAnsi="仿宋" w:eastAsia="仿宋" w:cs="仿宋"/>
          <w:spacing w:val="-8"/>
          <w:sz w:val="32"/>
          <w:szCs w:val="32"/>
          <w:highlight w:val="none"/>
        </w:rPr>
        <w:t>号）要求，</w:t>
      </w:r>
      <w:r>
        <w:rPr>
          <w:rFonts w:hint="eastAsia" w:ascii="仿宋" w:hAnsi="仿宋" w:eastAsia="仿宋" w:cs="仿宋"/>
          <w:spacing w:val="-8"/>
          <w:sz w:val="32"/>
          <w:szCs w:val="32"/>
          <w:highlight w:val="none"/>
          <w:lang w:eastAsia="zh-CN"/>
        </w:rPr>
        <w:t>我们接受邵阳市财政</w:t>
      </w:r>
      <w:r>
        <w:rPr>
          <w:rFonts w:hint="eastAsia" w:ascii="仿宋" w:hAnsi="仿宋" w:eastAsia="仿宋" w:cs="仿宋"/>
          <w:spacing w:val="-8"/>
          <w:sz w:val="32"/>
          <w:szCs w:val="32"/>
          <w:highlight w:val="none"/>
        </w:rPr>
        <w:t>局委托组成评价工作组，对</w:t>
      </w:r>
      <w:r>
        <w:rPr>
          <w:rFonts w:hint="eastAsia" w:ascii="仿宋" w:hAnsi="仿宋" w:eastAsia="仿宋" w:cs="仿宋"/>
          <w:spacing w:val="-8"/>
          <w:sz w:val="32"/>
          <w:szCs w:val="32"/>
          <w:highlight w:val="none"/>
          <w:lang w:eastAsia="zh-CN"/>
        </w:rPr>
        <w:t>邵阳经开区配套区公共基础设施项目专项资金</w:t>
      </w:r>
      <w:r>
        <w:rPr>
          <w:rFonts w:hint="eastAsia" w:ascii="仿宋" w:hAnsi="仿宋" w:eastAsia="仿宋" w:cs="仿宋"/>
          <w:spacing w:val="-8"/>
          <w:sz w:val="32"/>
          <w:szCs w:val="32"/>
          <w:highlight w:val="none"/>
        </w:rPr>
        <w:t>进行</w:t>
      </w:r>
      <w:r>
        <w:rPr>
          <w:rFonts w:hint="eastAsia" w:ascii="仿宋" w:hAnsi="仿宋" w:eastAsia="仿宋" w:cs="仿宋"/>
          <w:spacing w:val="-8"/>
          <w:sz w:val="32"/>
          <w:szCs w:val="32"/>
          <w:highlight w:val="none"/>
          <w:lang w:eastAsia="zh-CN"/>
        </w:rPr>
        <w:t>了</w:t>
      </w:r>
      <w:r>
        <w:rPr>
          <w:rFonts w:hint="eastAsia" w:ascii="仿宋" w:hAnsi="仿宋" w:eastAsia="仿宋" w:cs="仿宋"/>
          <w:spacing w:val="-8"/>
          <w:sz w:val="32"/>
          <w:szCs w:val="32"/>
          <w:highlight w:val="none"/>
        </w:rPr>
        <w:t>绩效评价。现将绩效评价情况报告如下：</w:t>
      </w:r>
    </w:p>
    <w:p>
      <w:pPr>
        <w:pStyle w:val="9"/>
        <w:keepNext w:val="0"/>
        <w:keepLines w:val="0"/>
        <w:pageBreakBefore w:val="0"/>
        <w:widowControl w:val="0"/>
        <w:shd w:val="clear"/>
        <w:kinsoku/>
        <w:wordWrap/>
        <w:overflowPunct/>
        <w:topLinePunct w:val="0"/>
        <w:autoSpaceDE/>
        <w:autoSpaceDN/>
        <w:bidi w:val="0"/>
        <w:adjustRightInd/>
        <w:snapToGrid/>
        <w:spacing w:line="360" w:lineRule="auto"/>
        <w:ind w:firstLine="640" w:firstLineChars="200"/>
        <w:jc w:val="left"/>
        <w:textAlignment w:val="auto"/>
        <w:outlineLvl w:val="0"/>
        <w:rPr>
          <w:rFonts w:hint="eastAsia" w:ascii="黑体" w:hAnsi="黑体" w:eastAsia="黑体" w:cs="黑体"/>
          <w:b w:val="0"/>
          <w:bCs w:val="0"/>
          <w:sz w:val="32"/>
          <w:szCs w:val="32"/>
          <w:highlight w:val="none"/>
        </w:rPr>
      </w:pPr>
      <w:bookmarkStart w:id="2" w:name="_Toc27520"/>
      <w:r>
        <w:rPr>
          <w:rFonts w:hint="eastAsia" w:ascii="黑体" w:hAnsi="黑体" w:eastAsia="黑体" w:cs="黑体"/>
          <w:b w:val="0"/>
          <w:bCs w:val="0"/>
          <w:sz w:val="32"/>
          <w:szCs w:val="32"/>
          <w:highlight w:val="none"/>
        </w:rPr>
        <w:t>一、项目基本情况</w:t>
      </w:r>
      <w:bookmarkEnd w:id="1"/>
      <w:bookmarkEnd w:id="2"/>
    </w:p>
    <w:p>
      <w:pPr>
        <w:keepNext w:val="0"/>
        <w:keepLines w:val="0"/>
        <w:pageBreakBefore w:val="0"/>
        <w:widowControl w:val="0"/>
        <w:shd w:val="clear"/>
        <w:kinsoku/>
        <w:wordWrap/>
        <w:overflowPunct/>
        <w:topLinePunct w:val="0"/>
        <w:autoSpaceDE/>
        <w:autoSpaceDN/>
        <w:bidi w:val="0"/>
        <w:adjustRightInd/>
        <w:snapToGrid/>
        <w:spacing w:line="360" w:lineRule="auto"/>
        <w:ind w:firstLine="643" w:firstLineChars="200"/>
        <w:textAlignment w:val="auto"/>
        <w:outlineLvl w:val="1"/>
        <w:rPr>
          <w:rFonts w:hint="eastAsia" w:ascii="楷体" w:hAnsi="楷体" w:eastAsia="楷体" w:cs="楷体"/>
          <w:b/>
          <w:bCs/>
          <w:sz w:val="32"/>
          <w:szCs w:val="32"/>
          <w:highlight w:val="none"/>
          <w:lang w:eastAsia="zh-CN"/>
        </w:rPr>
      </w:pPr>
      <w:bookmarkStart w:id="3" w:name="_Toc28338"/>
      <w:r>
        <w:rPr>
          <w:rFonts w:hint="eastAsia" w:ascii="楷体" w:hAnsi="楷体" w:eastAsia="楷体" w:cs="楷体"/>
          <w:b/>
          <w:bCs/>
          <w:sz w:val="32"/>
          <w:szCs w:val="32"/>
          <w:highlight w:val="none"/>
        </w:rPr>
        <w:t>（一）</w:t>
      </w:r>
      <w:r>
        <w:rPr>
          <w:rFonts w:hint="eastAsia" w:ascii="楷体" w:hAnsi="楷体" w:eastAsia="楷体" w:cs="楷体"/>
          <w:b/>
          <w:bCs/>
          <w:sz w:val="32"/>
          <w:szCs w:val="32"/>
          <w:highlight w:val="none"/>
          <w:lang w:eastAsia="zh-CN"/>
        </w:rPr>
        <w:t>项目概况</w:t>
      </w:r>
      <w:bookmarkEnd w:id="3"/>
    </w:p>
    <w:p>
      <w:pPr>
        <w:keepNext w:val="0"/>
        <w:keepLines w:val="0"/>
        <w:pageBreakBefore w:val="0"/>
        <w:widowControl w:val="0"/>
        <w:shd w:val="clear"/>
        <w:kinsoku/>
        <w:wordWrap/>
        <w:overflowPunct/>
        <w:topLinePunct w:val="0"/>
        <w:autoSpaceDE/>
        <w:autoSpaceDN/>
        <w:bidi w:val="0"/>
        <w:adjustRightInd/>
        <w:snapToGrid/>
        <w:spacing w:line="360" w:lineRule="auto"/>
        <w:ind w:firstLine="643" w:firstLineChars="200"/>
        <w:textAlignment w:val="auto"/>
        <w:rPr>
          <w:rFonts w:hint="eastAsia" w:ascii="仿宋" w:hAnsi="仿宋" w:eastAsia="仿宋" w:cs="仿宋"/>
          <w:b/>
          <w:bCs/>
          <w:sz w:val="32"/>
          <w:szCs w:val="32"/>
          <w:highlight w:val="none"/>
          <w:lang w:val="en-US" w:eastAsia="zh-CN"/>
        </w:rPr>
      </w:pPr>
      <w:r>
        <w:rPr>
          <w:rFonts w:hint="eastAsia" w:ascii="仿宋" w:hAnsi="仿宋" w:eastAsia="仿宋" w:cs="仿宋"/>
          <w:b/>
          <w:bCs/>
          <w:sz w:val="32"/>
          <w:szCs w:val="32"/>
          <w:highlight w:val="none"/>
          <w:lang w:val="en-US" w:eastAsia="zh-CN"/>
        </w:rPr>
        <w:t>1.项目背景</w:t>
      </w:r>
    </w:p>
    <w:p>
      <w:pPr>
        <w:keepNext w:val="0"/>
        <w:keepLines w:val="0"/>
        <w:pageBreakBefore w:val="0"/>
        <w:widowControl w:val="0"/>
        <w:shd w:val="clear"/>
        <w:kinsoku/>
        <w:wordWrap/>
        <w:overflowPunct/>
        <w:topLinePunct w:val="0"/>
        <w:autoSpaceDE/>
        <w:autoSpaceDN/>
        <w:bidi w:val="0"/>
        <w:adjustRightInd/>
        <w:snapToGrid/>
        <w:spacing w:line="360" w:lineRule="auto"/>
        <w:ind w:firstLine="608"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pacing w:val="-8"/>
          <w:sz w:val="32"/>
          <w:szCs w:val="32"/>
          <w:highlight w:val="none"/>
          <w:lang w:eastAsia="zh-CN"/>
        </w:rPr>
        <w:t>实施邵阳经开区配套区公共基础设施项目，是通过配套产业园的建设扩大三一湖汽公司产能，以</w:t>
      </w:r>
      <w:r>
        <w:rPr>
          <w:rFonts w:hint="eastAsia" w:ascii="仿宋" w:hAnsi="仿宋" w:eastAsia="仿宋" w:cs="仿宋"/>
          <w:sz w:val="32"/>
          <w:szCs w:val="32"/>
          <w:highlight w:val="none"/>
          <w:lang w:val="en-US" w:eastAsia="zh-CN"/>
        </w:rPr>
        <w:t>提高邵阳经开区整体实力，带动园区上下游配套产业的发展，刺激内需，保持社会需求稳定增长，促进社会就业及和谐稳定，2019年8月29日，邵阳市市委、市政府领导和三一集团主要负责人就邵阳市与三一集团加快推进“实现100亿、建设200亿、规划300亿”进行了座谈，会议议定如下主要意见：由邵阳经开区负责做好三一智能制造产业园现有厂区和D-14、D-15-1地块土建工程和厂房建设；修建产业园临红旗河河道护坡、扩建5号厂房、三一专汽员工食堂主体工程等。</w:t>
      </w:r>
    </w:p>
    <w:p>
      <w:pPr>
        <w:pStyle w:val="11"/>
        <w:keepNext w:val="0"/>
        <w:keepLines w:val="0"/>
        <w:pageBreakBefore w:val="0"/>
        <w:widowControl w:val="0"/>
        <w:shd w:val="clear"/>
        <w:kinsoku/>
        <w:wordWrap/>
        <w:overflowPunct/>
        <w:topLinePunct w:val="0"/>
        <w:autoSpaceDE/>
        <w:autoSpaceDN/>
        <w:bidi w:val="0"/>
        <w:adjustRightInd/>
        <w:snapToGrid/>
        <w:spacing w:beforeLines="0" w:afterLines="0" w:line="360" w:lineRule="auto"/>
        <w:textAlignment w:val="auto"/>
        <w:rPr>
          <w:rFonts w:hint="eastAsia" w:ascii="仿宋" w:hAnsi="仿宋" w:eastAsia="仿宋" w:cs="仿宋"/>
          <w:b/>
          <w:bCs/>
          <w:kern w:val="2"/>
          <w:sz w:val="32"/>
          <w:szCs w:val="32"/>
          <w:highlight w:val="none"/>
          <w:lang w:val="en-US" w:eastAsia="zh-CN" w:bidi="ar-SA"/>
        </w:rPr>
      </w:pPr>
      <w:r>
        <w:rPr>
          <w:rFonts w:hint="eastAsia" w:ascii="仿宋" w:hAnsi="仿宋" w:eastAsia="仿宋" w:cs="仿宋"/>
          <w:b/>
          <w:bCs/>
          <w:kern w:val="2"/>
          <w:sz w:val="32"/>
          <w:szCs w:val="32"/>
          <w:highlight w:val="none"/>
          <w:lang w:val="en-US" w:eastAsia="zh-CN" w:bidi="ar-SA"/>
        </w:rPr>
        <w:t>2、项目单位概况</w:t>
      </w:r>
    </w:p>
    <w:p>
      <w:pPr>
        <w:pStyle w:val="11"/>
        <w:keepNext w:val="0"/>
        <w:keepLines w:val="0"/>
        <w:pageBreakBefore w:val="0"/>
        <w:widowControl w:val="0"/>
        <w:shd w:val="clear"/>
        <w:kinsoku/>
        <w:wordWrap/>
        <w:overflowPunct/>
        <w:topLinePunct w:val="0"/>
        <w:autoSpaceDE/>
        <w:autoSpaceDN/>
        <w:bidi w:val="0"/>
        <w:adjustRightInd/>
        <w:snapToGrid/>
        <w:spacing w:beforeLines="0" w:afterLines="0" w:line="360" w:lineRule="auto"/>
        <w:ind w:left="0" w:leftChars="0"/>
        <w:textAlignment w:val="auto"/>
        <w:rPr>
          <w:rFonts w:hint="eastAsia" w:ascii="仿宋" w:hAnsi="仿宋" w:eastAsia="仿宋" w:cs="仿宋"/>
          <w:kern w:val="2"/>
          <w:sz w:val="32"/>
          <w:szCs w:val="32"/>
          <w:highlight w:val="none"/>
          <w:lang w:val="en-US" w:eastAsia="zh-CN" w:bidi="ar-SA"/>
        </w:rPr>
      </w:pPr>
      <w:r>
        <w:rPr>
          <w:rFonts w:hint="eastAsia" w:ascii="仿宋" w:hAnsi="仿宋" w:eastAsia="仿宋" w:cs="仿宋"/>
          <w:kern w:val="2"/>
          <w:sz w:val="32"/>
          <w:szCs w:val="32"/>
          <w:highlight w:val="none"/>
          <w:lang w:val="en-US" w:eastAsia="zh-CN" w:bidi="ar-SA"/>
        </w:rPr>
        <w:t>邵阳经济开发区管理委员会是邵阳经开区配套区公共基础设施项目的主管单位。</w:t>
      </w:r>
    </w:p>
    <w:p>
      <w:pPr>
        <w:pStyle w:val="11"/>
        <w:keepNext w:val="0"/>
        <w:keepLines w:val="0"/>
        <w:pageBreakBefore w:val="0"/>
        <w:widowControl w:val="0"/>
        <w:shd w:val="clear"/>
        <w:kinsoku/>
        <w:wordWrap/>
        <w:overflowPunct/>
        <w:topLinePunct w:val="0"/>
        <w:autoSpaceDE/>
        <w:autoSpaceDN/>
        <w:bidi w:val="0"/>
        <w:adjustRightInd/>
        <w:snapToGrid/>
        <w:spacing w:beforeLines="0" w:afterLines="0" w:line="360" w:lineRule="auto"/>
        <w:ind w:left="0" w:leftChars="0"/>
        <w:textAlignment w:val="auto"/>
        <w:rPr>
          <w:rFonts w:hint="eastAsia" w:ascii="仿宋" w:hAnsi="仿宋" w:eastAsia="仿宋" w:cs="仿宋"/>
          <w:kern w:val="2"/>
          <w:sz w:val="32"/>
          <w:szCs w:val="32"/>
          <w:highlight w:val="none"/>
          <w:lang w:val="en-US" w:eastAsia="zh-CN" w:bidi="ar-SA"/>
        </w:rPr>
      </w:pPr>
      <w:r>
        <w:rPr>
          <w:rFonts w:hint="eastAsia" w:ascii="仿宋" w:hAnsi="仿宋" w:eastAsia="仿宋" w:cs="仿宋"/>
          <w:kern w:val="2"/>
          <w:sz w:val="32"/>
          <w:szCs w:val="32"/>
          <w:highlight w:val="none"/>
          <w:lang w:val="en-US" w:eastAsia="zh-CN" w:bidi="ar-SA"/>
        </w:rPr>
        <w:t>邵阳市宝庆工业新城建设投资开发有限公司（以下简称“宝城公司”）是邵阳经开区配套区公共基础设施项目的实施单位、建设单位。公司成立于2008年1月，属国有控股有限责任公司，注册资本伍亿元整，出资人为邵阳市国资委（占股90%）和湖南省国有投资经营有限公司（占股10%），经营范围主要包括：建设工程施工、房地产开发经营、市政设施管理、园区管理服务、工程管理服务、非居住房地产租赁、住房租赁等。公司负责本项目建设、运营与维护、管理等工作。</w:t>
      </w:r>
    </w:p>
    <w:p>
      <w:pPr>
        <w:pStyle w:val="11"/>
        <w:keepNext w:val="0"/>
        <w:keepLines w:val="0"/>
        <w:pageBreakBefore w:val="0"/>
        <w:widowControl w:val="0"/>
        <w:shd w:val="clear"/>
        <w:kinsoku/>
        <w:wordWrap/>
        <w:overflowPunct/>
        <w:topLinePunct w:val="0"/>
        <w:autoSpaceDE/>
        <w:autoSpaceDN/>
        <w:bidi w:val="0"/>
        <w:adjustRightInd/>
        <w:snapToGrid/>
        <w:spacing w:beforeLines="0" w:afterLines="0" w:line="360" w:lineRule="auto"/>
        <w:textAlignment w:val="auto"/>
        <w:rPr>
          <w:rFonts w:hint="eastAsia" w:ascii="仿宋" w:hAnsi="仿宋" w:eastAsia="仿宋" w:cs="仿宋"/>
          <w:b/>
          <w:bCs/>
          <w:kern w:val="2"/>
          <w:sz w:val="32"/>
          <w:szCs w:val="32"/>
          <w:highlight w:val="none"/>
          <w:lang w:val="en-US" w:eastAsia="zh-CN" w:bidi="ar-SA"/>
        </w:rPr>
      </w:pPr>
      <w:r>
        <w:rPr>
          <w:rFonts w:hint="eastAsia" w:ascii="仿宋" w:hAnsi="仿宋" w:eastAsia="仿宋" w:cs="仿宋"/>
          <w:b/>
          <w:bCs/>
          <w:kern w:val="2"/>
          <w:sz w:val="32"/>
          <w:szCs w:val="32"/>
          <w:highlight w:val="none"/>
          <w:lang w:val="en-US" w:eastAsia="zh-CN" w:bidi="ar-SA"/>
        </w:rPr>
        <w:t>3.项目主要建设内容</w:t>
      </w:r>
    </w:p>
    <w:p>
      <w:pPr>
        <w:pStyle w:val="11"/>
        <w:keepNext w:val="0"/>
        <w:keepLines w:val="0"/>
        <w:pageBreakBefore w:val="0"/>
        <w:widowControl w:val="0"/>
        <w:shd w:val="clear"/>
        <w:kinsoku/>
        <w:wordWrap/>
        <w:overflowPunct/>
        <w:topLinePunct w:val="0"/>
        <w:autoSpaceDE/>
        <w:autoSpaceDN/>
        <w:bidi w:val="0"/>
        <w:adjustRightInd/>
        <w:snapToGrid/>
        <w:spacing w:beforeLines="0" w:afterLines="0" w:line="360" w:lineRule="auto"/>
        <w:ind w:left="0" w:leftChars="0"/>
        <w:textAlignment w:val="auto"/>
        <w:rPr>
          <w:rFonts w:hint="eastAsia" w:ascii="仿宋" w:hAnsi="仿宋" w:eastAsia="仿宋" w:cs="仿宋"/>
          <w:kern w:val="2"/>
          <w:sz w:val="32"/>
          <w:szCs w:val="32"/>
          <w:highlight w:val="none"/>
          <w:lang w:val="en-US" w:eastAsia="zh-CN" w:bidi="ar-SA"/>
        </w:rPr>
      </w:pPr>
      <w:r>
        <w:rPr>
          <w:rFonts w:hint="eastAsia" w:ascii="仿宋" w:hAnsi="仿宋" w:eastAsia="仿宋" w:cs="仿宋"/>
          <w:b/>
          <w:bCs/>
          <w:sz w:val="32"/>
          <w:szCs w:val="32"/>
          <w:highlight w:val="none"/>
          <w:lang w:val="en-US" w:eastAsia="zh-CN"/>
        </w:rPr>
        <w:t>（1）建设地点。</w:t>
      </w:r>
      <w:r>
        <w:rPr>
          <w:rFonts w:hint="eastAsia" w:ascii="仿宋" w:hAnsi="仿宋" w:eastAsia="仿宋" w:cs="仿宋"/>
          <w:kern w:val="2"/>
          <w:sz w:val="32"/>
          <w:szCs w:val="32"/>
          <w:highlight w:val="none"/>
          <w:lang w:val="en-US" w:eastAsia="zh-CN" w:bidi="ar-SA"/>
        </w:rPr>
        <w:t>包括两个地块，地块一位于邵阳市双清区大元村，东至大兴路，北至高新路，西至红旗渠，南至爱莲池路；地块二位于大元村，东至广信路，北至邵阳大道，西至大兴路，南至高新路。</w:t>
      </w:r>
      <w:r>
        <w:rPr>
          <w:rFonts w:hint="eastAsia" w:ascii="仿宋" w:hAnsi="仿宋" w:eastAsia="仿宋" w:cs="仿宋"/>
          <w:b/>
          <w:bCs/>
          <w:sz w:val="32"/>
          <w:szCs w:val="32"/>
          <w:highlight w:val="none"/>
          <w:lang w:val="en-US" w:eastAsia="zh-CN"/>
        </w:rPr>
        <w:t>（2）建设内容与规模。</w:t>
      </w:r>
      <w:r>
        <w:rPr>
          <w:rFonts w:hint="eastAsia" w:ascii="仿宋" w:hAnsi="仿宋" w:eastAsia="仿宋" w:cs="仿宋"/>
          <w:kern w:val="2"/>
          <w:sz w:val="32"/>
          <w:szCs w:val="32"/>
          <w:highlight w:val="none"/>
          <w:lang w:val="en-US" w:eastAsia="zh-CN" w:bidi="ar-SA"/>
        </w:rPr>
        <w:t>项目规划用地总面积约412亩。地块一占地面积200亩，建设标准厂房及配套设施建筑，并配套景观绿化、给排水、强弱电等，地块二占地面积约212亩，主要完成三通一平等土地一级开发工作。</w:t>
      </w:r>
      <w:r>
        <w:rPr>
          <w:rFonts w:hint="eastAsia" w:ascii="仿宋" w:hAnsi="仿宋" w:eastAsia="仿宋" w:cs="仿宋"/>
          <w:b/>
          <w:bCs/>
          <w:sz w:val="32"/>
          <w:szCs w:val="32"/>
          <w:highlight w:val="none"/>
          <w:lang w:val="en-US" w:eastAsia="zh-CN"/>
        </w:rPr>
        <w:t>（3）投资总额及资金来源。</w:t>
      </w:r>
      <w:r>
        <w:rPr>
          <w:rFonts w:hint="eastAsia" w:ascii="仿宋" w:hAnsi="仿宋" w:eastAsia="仿宋" w:cs="仿宋"/>
          <w:kern w:val="2"/>
          <w:sz w:val="32"/>
          <w:szCs w:val="32"/>
          <w:highlight w:val="none"/>
          <w:lang w:val="en-US" w:eastAsia="zh-CN" w:bidi="ar-SA"/>
        </w:rPr>
        <w:t>项目估算总投资80693.08万元，其中：室内外建筑工程36088万元，工程其他费37792.65万元（其中报批和征拆补偿费32960万元），预备费3694.03万元，建设期利息3118.40万元。资金来源为自筹资金20693.08万元，申请发行政府专项债券60000万元。</w:t>
      </w:r>
      <w:r>
        <w:rPr>
          <w:rFonts w:hint="eastAsia" w:ascii="仿宋" w:hAnsi="仿宋" w:eastAsia="仿宋" w:cs="仿宋"/>
          <w:b/>
          <w:bCs/>
          <w:sz w:val="32"/>
          <w:szCs w:val="32"/>
          <w:highlight w:val="none"/>
          <w:lang w:val="en-US" w:eastAsia="zh-CN"/>
        </w:rPr>
        <w:t>（4）项目建设期。</w:t>
      </w:r>
      <w:r>
        <w:rPr>
          <w:rFonts w:hint="eastAsia" w:ascii="仿宋" w:hAnsi="仿宋" w:eastAsia="仿宋" w:cs="仿宋"/>
          <w:kern w:val="2"/>
          <w:sz w:val="32"/>
          <w:szCs w:val="32"/>
          <w:highlight w:val="none"/>
          <w:lang w:val="en-US" w:eastAsia="zh-CN" w:bidi="ar-SA"/>
        </w:rPr>
        <w:t xml:space="preserve"> 建设期2年。2020年12月前完成前期准备工作，2021年6月前完成工程主体，2021年12月前完成建筑主体工程验收，2022年上半年完成全部项目竣工验收。</w:t>
      </w:r>
    </w:p>
    <w:p>
      <w:pPr>
        <w:pStyle w:val="11"/>
        <w:keepNext w:val="0"/>
        <w:keepLines w:val="0"/>
        <w:pageBreakBefore w:val="0"/>
        <w:widowControl w:val="0"/>
        <w:shd w:val="clear"/>
        <w:kinsoku/>
        <w:wordWrap/>
        <w:overflowPunct/>
        <w:topLinePunct w:val="0"/>
        <w:autoSpaceDE/>
        <w:autoSpaceDN/>
        <w:bidi w:val="0"/>
        <w:adjustRightInd/>
        <w:snapToGrid/>
        <w:spacing w:beforeLines="0" w:afterLines="0" w:line="360" w:lineRule="auto"/>
        <w:ind w:left="0" w:leftChars="0"/>
        <w:textAlignment w:val="auto"/>
        <w:rPr>
          <w:rFonts w:hint="eastAsia" w:ascii="仿宋" w:hAnsi="仿宋" w:eastAsia="仿宋" w:cs="仿宋"/>
          <w:kern w:val="2"/>
          <w:sz w:val="32"/>
          <w:szCs w:val="32"/>
          <w:highlight w:val="none"/>
          <w:lang w:val="en-US" w:eastAsia="zh-CN" w:bidi="ar-SA"/>
        </w:rPr>
      </w:pPr>
      <w:r>
        <w:rPr>
          <w:rFonts w:hint="eastAsia" w:ascii="仿宋" w:hAnsi="仿宋" w:eastAsia="仿宋" w:cs="仿宋"/>
          <w:kern w:val="2"/>
          <w:sz w:val="32"/>
          <w:szCs w:val="32"/>
          <w:highlight w:val="none"/>
          <w:lang w:val="en-US" w:eastAsia="zh-CN" w:bidi="ar-SA"/>
        </w:rPr>
        <w:t>截止2022年6月底，项目已完成建设标准厂房及配套设施建筑和景观绿化、给排水、强弱电等配套设施，完成三通一平等土地一级开发工作。项目已实际支出75250.27万元，其中使用专项资金支出52083.90元。</w:t>
      </w:r>
    </w:p>
    <w:p>
      <w:pPr>
        <w:keepNext w:val="0"/>
        <w:keepLines w:val="0"/>
        <w:pageBreakBefore w:val="0"/>
        <w:widowControl w:val="0"/>
        <w:shd w:val="clear"/>
        <w:kinsoku/>
        <w:wordWrap/>
        <w:overflowPunct/>
        <w:topLinePunct w:val="0"/>
        <w:autoSpaceDE/>
        <w:autoSpaceDN/>
        <w:bidi w:val="0"/>
        <w:adjustRightInd/>
        <w:snapToGrid/>
        <w:spacing w:line="360" w:lineRule="auto"/>
        <w:ind w:left="0" w:leftChars="0" w:firstLine="643" w:firstLineChars="200"/>
        <w:textAlignment w:val="auto"/>
        <w:outlineLvl w:val="1"/>
        <w:rPr>
          <w:rFonts w:hint="eastAsia" w:ascii="仿宋" w:hAnsi="仿宋" w:eastAsia="仿宋" w:cs="仿宋"/>
          <w:sz w:val="32"/>
          <w:szCs w:val="32"/>
          <w:highlight w:val="none"/>
          <w:lang w:val="en-US" w:eastAsia="zh-CN"/>
        </w:rPr>
      </w:pPr>
      <w:bookmarkStart w:id="4" w:name="_Toc8475"/>
      <w:r>
        <w:rPr>
          <w:rFonts w:hint="eastAsia" w:ascii="仿宋" w:hAnsi="仿宋" w:eastAsia="仿宋" w:cs="仿宋"/>
          <w:b/>
          <w:bCs/>
          <w:sz w:val="32"/>
          <w:szCs w:val="32"/>
          <w:highlight w:val="none"/>
          <w:lang w:val="en-US" w:eastAsia="zh-CN"/>
        </w:rPr>
        <w:t>4.政府专项债券概况</w:t>
      </w:r>
    </w:p>
    <w:p>
      <w:pPr>
        <w:pStyle w:val="11"/>
        <w:keepNext w:val="0"/>
        <w:keepLines w:val="0"/>
        <w:pageBreakBefore w:val="0"/>
        <w:widowControl w:val="0"/>
        <w:shd w:val="clear"/>
        <w:kinsoku/>
        <w:wordWrap/>
        <w:overflowPunct/>
        <w:topLinePunct w:val="0"/>
        <w:autoSpaceDE/>
        <w:autoSpaceDN/>
        <w:bidi w:val="0"/>
        <w:adjustRightInd/>
        <w:snapToGrid/>
        <w:spacing w:beforeLines="0" w:afterLines="0" w:line="360" w:lineRule="auto"/>
        <w:ind w:left="0" w:leftChars="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本次列入绩效评价范围的2021年度邵阳经开区配套区基础设施项目60000万元，是通过发行《2020年湖南省园区建设专项债券（四期）—2020年湖南省政府专项债券（四期）》募集的资金。专项债券2020年1月17日起在深交所上市</w:t>
      </w:r>
      <w:r>
        <w:rPr>
          <w:rFonts w:hint="eastAsia" w:ascii="仿宋" w:hAnsi="仿宋" w:eastAsia="仿宋" w:cs="仿宋"/>
          <w:sz w:val="32"/>
          <w:szCs w:val="32"/>
          <w:highlight w:val="none"/>
          <w:lang w:val="en-US" w:eastAsia="zh-CN"/>
        </w:rPr>
        <w:fldChar w:fldCharType="begin"/>
      </w:r>
      <w:r>
        <w:rPr>
          <w:rFonts w:hint="eastAsia" w:ascii="仿宋" w:hAnsi="仿宋" w:eastAsia="仿宋" w:cs="仿宋"/>
          <w:sz w:val="32"/>
          <w:szCs w:val="32"/>
          <w:highlight w:val="none"/>
          <w:lang w:val="en-US" w:eastAsia="zh-CN"/>
        </w:rPr>
        <w:instrText xml:space="preserve"> HYPERLINK "https://www.ctsec.com/news/key/12251" \o "交易" \t "https://www.ctsec.com/news/detail/_blank" </w:instrText>
      </w:r>
      <w:r>
        <w:rPr>
          <w:rFonts w:hint="eastAsia" w:ascii="仿宋" w:hAnsi="仿宋" w:eastAsia="仿宋" w:cs="仿宋"/>
          <w:sz w:val="32"/>
          <w:szCs w:val="32"/>
          <w:highlight w:val="none"/>
          <w:lang w:val="en-US" w:eastAsia="zh-CN"/>
        </w:rPr>
        <w:fldChar w:fldCharType="separate"/>
      </w:r>
      <w:r>
        <w:rPr>
          <w:rFonts w:hint="eastAsia" w:ascii="仿宋" w:hAnsi="仿宋" w:eastAsia="仿宋" w:cs="仿宋"/>
          <w:sz w:val="32"/>
          <w:szCs w:val="32"/>
          <w:highlight w:val="none"/>
          <w:lang w:val="en-US" w:eastAsia="zh-CN"/>
        </w:rPr>
        <w:t>交易</w:t>
      </w:r>
      <w:r>
        <w:rPr>
          <w:rFonts w:hint="eastAsia" w:ascii="仿宋" w:hAnsi="仿宋" w:eastAsia="仿宋" w:cs="仿宋"/>
          <w:sz w:val="32"/>
          <w:szCs w:val="32"/>
          <w:highlight w:val="none"/>
          <w:lang w:val="en-US" w:eastAsia="zh-CN"/>
        </w:rPr>
        <w:fldChar w:fldCharType="end"/>
      </w:r>
      <w:r>
        <w:rPr>
          <w:rFonts w:hint="eastAsia" w:ascii="仿宋" w:hAnsi="仿宋" w:eastAsia="仿宋" w:cs="仿宋"/>
          <w:sz w:val="32"/>
          <w:szCs w:val="32"/>
          <w:highlight w:val="none"/>
          <w:lang w:val="en-US" w:eastAsia="zh-CN"/>
        </w:rPr>
        <w:t>，债券为15年期固定利率附息债，证券编码“104121”，证券简称“湖南2004”，票面利率3.65％，半年付息一次，2035年1月15日到期还本并支付最后一期利息。</w:t>
      </w:r>
    </w:p>
    <w:p>
      <w:pPr>
        <w:keepNext w:val="0"/>
        <w:keepLines w:val="0"/>
        <w:pageBreakBefore w:val="0"/>
        <w:widowControl w:val="0"/>
        <w:shd w:val="clear"/>
        <w:kinsoku/>
        <w:wordWrap/>
        <w:overflowPunct/>
        <w:topLinePunct w:val="0"/>
        <w:autoSpaceDE/>
        <w:autoSpaceDN/>
        <w:bidi w:val="0"/>
        <w:adjustRightInd/>
        <w:snapToGrid/>
        <w:spacing w:line="360" w:lineRule="auto"/>
        <w:ind w:left="0" w:leftChars="0" w:firstLine="643" w:firstLineChars="200"/>
        <w:textAlignment w:val="auto"/>
        <w:outlineLvl w:val="2"/>
        <w:rPr>
          <w:rFonts w:hint="eastAsia" w:ascii="楷体" w:hAnsi="楷体" w:eastAsia="楷体" w:cs="楷体"/>
          <w:b/>
          <w:bCs/>
          <w:sz w:val="32"/>
          <w:szCs w:val="32"/>
          <w:highlight w:val="none"/>
          <w:lang w:val="en-US" w:eastAsia="zh-CN"/>
        </w:rPr>
      </w:pPr>
      <w:r>
        <w:rPr>
          <w:rFonts w:hint="eastAsia" w:ascii="楷体" w:hAnsi="楷体" w:eastAsia="楷体" w:cs="楷体"/>
          <w:b/>
          <w:bCs/>
          <w:sz w:val="32"/>
          <w:szCs w:val="32"/>
          <w:highlight w:val="none"/>
          <w:lang w:val="en-US" w:eastAsia="zh-CN"/>
        </w:rPr>
        <w:t>（二）</w:t>
      </w:r>
      <w:bookmarkStart w:id="5" w:name="_Toc31235"/>
      <w:r>
        <w:rPr>
          <w:rFonts w:hint="eastAsia" w:ascii="楷体" w:hAnsi="楷体" w:eastAsia="楷体" w:cs="楷体"/>
          <w:b/>
          <w:bCs/>
          <w:sz w:val="32"/>
          <w:szCs w:val="32"/>
          <w:highlight w:val="none"/>
          <w:lang w:val="en-US" w:eastAsia="zh-CN"/>
        </w:rPr>
        <w:t>项目立项程序和“一案两书”编制情况</w:t>
      </w:r>
      <w:bookmarkEnd w:id="5"/>
    </w:p>
    <w:p>
      <w:pPr>
        <w:keepNext w:val="0"/>
        <w:keepLines w:val="0"/>
        <w:pageBreakBefore w:val="0"/>
        <w:widowControl w:val="0"/>
        <w:shd w:val="clear"/>
        <w:kinsoku/>
        <w:wordWrap/>
        <w:overflowPunct/>
        <w:topLinePunct w:val="0"/>
        <w:autoSpaceDE/>
        <w:autoSpaceDN/>
        <w:bidi w:val="0"/>
        <w:adjustRightInd/>
        <w:snapToGrid/>
        <w:spacing w:line="360" w:lineRule="auto"/>
        <w:ind w:left="0" w:leftChars="0" w:firstLine="643"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b/>
          <w:bCs/>
          <w:sz w:val="32"/>
          <w:szCs w:val="32"/>
          <w:highlight w:val="none"/>
          <w:lang w:val="en-US" w:eastAsia="zh-CN"/>
        </w:rPr>
        <w:t>1.环评。</w:t>
      </w:r>
      <w:r>
        <w:rPr>
          <w:rFonts w:hint="eastAsia" w:ascii="仿宋" w:hAnsi="仿宋" w:eastAsia="仿宋" w:cs="仿宋"/>
          <w:sz w:val="32"/>
          <w:szCs w:val="32"/>
          <w:highlight w:val="none"/>
          <w:lang w:val="en-US" w:eastAsia="zh-CN"/>
        </w:rPr>
        <w:t>2019年7月26日，邵阳市生态环境局经济开发区分局环评批复同意本项目（邵经环评[2019]16号）。</w:t>
      </w:r>
    </w:p>
    <w:p>
      <w:pPr>
        <w:keepNext w:val="0"/>
        <w:keepLines w:val="0"/>
        <w:pageBreakBefore w:val="0"/>
        <w:widowControl w:val="0"/>
        <w:shd w:val="clear"/>
        <w:kinsoku/>
        <w:wordWrap/>
        <w:overflowPunct/>
        <w:topLinePunct w:val="0"/>
        <w:autoSpaceDE/>
        <w:autoSpaceDN/>
        <w:bidi w:val="0"/>
        <w:adjustRightInd/>
        <w:snapToGrid/>
        <w:spacing w:line="360" w:lineRule="auto"/>
        <w:ind w:left="0" w:leftChars="0" w:firstLine="643"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b/>
          <w:bCs/>
          <w:sz w:val="32"/>
          <w:szCs w:val="32"/>
          <w:highlight w:val="none"/>
          <w:lang w:val="en-US" w:eastAsia="zh-CN"/>
        </w:rPr>
        <w:t>2.可行性研究。</w:t>
      </w:r>
      <w:r>
        <w:rPr>
          <w:rFonts w:hint="eastAsia" w:ascii="仿宋" w:hAnsi="仿宋" w:eastAsia="仿宋" w:cs="仿宋"/>
          <w:sz w:val="32"/>
          <w:szCs w:val="32"/>
          <w:highlight w:val="none"/>
          <w:lang w:val="en-US" w:eastAsia="zh-CN"/>
        </w:rPr>
        <w:t>2019年10月，湖南力源工程项目评估咨询有限公司出具可研报告，项目总投资80693.08万元。</w:t>
      </w:r>
    </w:p>
    <w:p>
      <w:pPr>
        <w:keepNext w:val="0"/>
        <w:keepLines w:val="0"/>
        <w:pageBreakBefore w:val="0"/>
        <w:widowControl w:val="0"/>
        <w:shd w:val="clear"/>
        <w:kinsoku/>
        <w:wordWrap/>
        <w:overflowPunct/>
        <w:topLinePunct w:val="0"/>
        <w:autoSpaceDE/>
        <w:autoSpaceDN/>
        <w:bidi w:val="0"/>
        <w:adjustRightInd/>
        <w:snapToGrid/>
        <w:spacing w:line="360" w:lineRule="auto"/>
        <w:ind w:left="0" w:leftChars="0" w:firstLine="643"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b/>
          <w:bCs/>
          <w:sz w:val="32"/>
          <w:szCs w:val="32"/>
          <w:highlight w:val="none"/>
          <w:lang w:val="en-US" w:eastAsia="zh-CN"/>
        </w:rPr>
        <w:t>3.批复立项。</w:t>
      </w:r>
      <w:r>
        <w:rPr>
          <w:rFonts w:hint="eastAsia" w:ascii="仿宋" w:hAnsi="仿宋" w:eastAsia="仿宋" w:cs="仿宋"/>
          <w:sz w:val="32"/>
          <w:szCs w:val="32"/>
          <w:highlight w:val="none"/>
          <w:lang w:val="en-US" w:eastAsia="zh-CN"/>
        </w:rPr>
        <w:t>2019年12月3日，邵阳经经开发区管理委员会批复（邵经开审批（投）发[2019]21号），同意项目立项实施。</w:t>
      </w:r>
    </w:p>
    <w:p>
      <w:pPr>
        <w:keepNext w:val="0"/>
        <w:keepLines w:val="0"/>
        <w:pageBreakBefore w:val="0"/>
        <w:widowControl w:val="0"/>
        <w:shd w:val="clear"/>
        <w:kinsoku/>
        <w:wordWrap/>
        <w:overflowPunct/>
        <w:topLinePunct w:val="0"/>
        <w:autoSpaceDE/>
        <w:autoSpaceDN/>
        <w:bidi w:val="0"/>
        <w:adjustRightInd/>
        <w:snapToGrid/>
        <w:spacing w:line="360" w:lineRule="auto"/>
        <w:ind w:left="0" w:leftChars="0" w:firstLine="643"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b/>
          <w:bCs/>
          <w:sz w:val="32"/>
          <w:szCs w:val="32"/>
          <w:highlight w:val="none"/>
          <w:lang w:val="en-US" w:eastAsia="zh-CN"/>
        </w:rPr>
        <w:t>4.行政许可。</w:t>
      </w:r>
      <w:r>
        <w:rPr>
          <w:rFonts w:hint="eastAsia" w:ascii="仿宋" w:hAnsi="仿宋" w:eastAsia="仿宋" w:cs="仿宋"/>
          <w:sz w:val="32"/>
          <w:szCs w:val="32"/>
          <w:highlight w:val="none"/>
          <w:lang w:val="en-US" w:eastAsia="zh-CN"/>
        </w:rPr>
        <w:t>2019年12月13日，取得项目建设用地规划许可证（建规[地]字第2019-JK15B号）、建设工程规划许可证（建规[建]字第2019-JK26B号）、建筑工程施工许可证（编号430501201912130101）。</w:t>
      </w:r>
    </w:p>
    <w:p>
      <w:pPr>
        <w:keepNext w:val="0"/>
        <w:keepLines w:val="0"/>
        <w:pageBreakBefore w:val="0"/>
        <w:widowControl w:val="0"/>
        <w:shd w:val="clear"/>
        <w:kinsoku/>
        <w:wordWrap/>
        <w:overflowPunct/>
        <w:topLinePunct w:val="0"/>
        <w:autoSpaceDE/>
        <w:autoSpaceDN/>
        <w:bidi w:val="0"/>
        <w:adjustRightInd/>
        <w:snapToGrid/>
        <w:spacing w:line="360" w:lineRule="auto"/>
        <w:ind w:left="0" w:leftChars="0" w:firstLine="643"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b/>
          <w:bCs/>
          <w:sz w:val="32"/>
          <w:szCs w:val="32"/>
          <w:highlight w:val="none"/>
          <w:lang w:val="en-US" w:eastAsia="zh-CN"/>
        </w:rPr>
        <w:t>5.专项债券“一案两书”编制。</w:t>
      </w:r>
      <w:r>
        <w:rPr>
          <w:rFonts w:hint="eastAsia" w:ascii="仿宋" w:hAnsi="仿宋" w:eastAsia="仿宋" w:cs="仿宋"/>
          <w:sz w:val="32"/>
          <w:szCs w:val="32"/>
          <w:highlight w:val="none"/>
          <w:lang w:val="en-US" w:eastAsia="zh-CN"/>
        </w:rPr>
        <w:t>2020年1月6日邵阳市财政局、市经开区管委会印发了《湖南省邵阳市2020年园区建设专项债券项目预期收益与融资平衡方案》，2020年1月6日湖南天平正大有限责任会计师事务所出具《关于湖南省邵阳市2020年园区建设专项债券项目收益与融资自求平衡专项审核报告》；2020年1月7日湖南省泓锐律师事务所出具《关于湖南省邵阳市2020年园区建设专项债券之法律意见书》（[2020]泓锐意字第01号）。</w:t>
      </w:r>
    </w:p>
    <w:p>
      <w:pPr>
        <w:keepNext w:val="0"/>
        <w:keepLines w:val="0"/>
        <w:pageBreakBefore w:val="0"/>
        <w:widowControl w:val="0"/>
        <w:shd w:val="clear"/>
        <w:kinsoku/>
        <w:wordWrap/>
        <w:overflowPunct/>
        <w:topLinePunct w:val="0"/>
        <w:autoSpaceDE/>
        <w:autoSpaceDN/>
        <w:bidi w:val="0"/>
        <w:adjustRightInd/>
        <w:snapToGrid/>
        <w:spacing w:line="360" w:lineRule="auto"/>
        <w:ind w:left="0" w:leftChars="0" w:firstLine="643" w:firstLineChars="200"/>
        <w:textAlignment w:val="auto"/>
        <w:rPr>
          <w:rFonts w:hint="eastAsia" w:ascii="楷体" w:hAnsi="楷体" w:eastAsia="楷体" w:cs="楷体"/>
          <w:b/>
          <w:bCs/>
          <w:sz w:val="32"/>
          <w:szCs w:val="32"/>
          <w:highlight w:val="none"/>
          <w:lang w:val="en-US" w:eastAsia="zh-CN"/>
        </w:rPr>
      </w:pPr>
      <w:r>
        <w:rPr>
          <w:rFonts w:hint="eastAsia" w:ascii="楷体" w:hAnsi="楷体" w:eastAsia="楷体" w:cs="楷体"/>
          <w:b/>
          <w:bCs/>
          <w:sz w:val="32"/>
          <w:szCs w:val="32"/>
          <w:highlight w:val="none"/>
          <w:lang w:val="en-US" w:eastAsia="zh-CN"/>
        </w:rPr>
        <w:t>（三）项目制度建设情况</w:t>
      </w:r>
    </w:p>
    <w:p>
      <w:pPr>
        <w:keepNext w:val="0"/>
        <w:keepLines w:val="0"/>
        <w:pageBreakBefore w:val="0"/>
        <w:widowControl w:val="0"/>
        <w:shd w:val="clear"/>
        <w:kinsoku/>
        <w:wordWrap/>
        <w:overflowPunct/>
        <w:topLinePunct w:val="0"/>
        <w:autoSpaceDE/>
        <w:autoSpaceDN/>
        <w:bidi w:val="0"/>
        <w:adjustRightInd/>
        <w:snapToGrid/>
        <w:spacing w:line="360" w:lineRule="auto"/>
        <w:ind w:left="0" w:leftChars="0" w:firstLine="640" w:firstLineChars="200"/>
        <w:textAlignment w:val="auto"/>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lang w:val="en-US" w:eastAsia="zh-CN"/>
        </w:rPr>
        <w:t>宝城公司</w:t>
      </w:r>
      <w:r>
        <w:rPr>
          <w:rFonts w:hint="eastAsia" w:ascii="仿宋" w:hAnsi="仿宋" w:eastAsia="仿宋" w:cs="仿宋"/>
          <w:sz w:val="32"/>
          <w:szCs w:val="32"/>
          <w:highlight w:val="none"/>
        </w:rPr>
        <w:t>主要根据《邵阳市人民政府关于印发&lt;邵阳市集体土地征收及房屋拆迁补偿安置办法&gt;的通知》（邵市政发〔2018〕11号）的规定进行征地拆迁补偿安置</w:t>
      </w:r>
      <w:r>
        <w:rPr>
          <w:rFonts w:hint="eastAsia" w:ascii="仿宋" w:hAnsi="仿宋" w:eastAsia="仿宋" w:cs="仿宋"/>
          <w:sz w:val="32"/>
          <w:szCs w:val="32"/>
          <w:highlight w:val="none"/>
          <w:lang w:eastAsia="zh-CN"/>
        </w:rPr>
        <w:t>。制定了《工程建设项目招投标管理暂行办法》，规范招标限额标准和流程；制定《工程建设勘察、设计管理暂行办法》，规范各项工程建设程序；制定了《工程项目现场代表管理暂行办法》，规范工程现场管理。</w:t>
      </w:r>
    </w:p>
    <w:p>
      <w:pPr>
        <w:keepNext w:val="0"/>
        <w:keepLines w:val="0"/>
        <w:pageBreakBefore w:val="0"/>
        <w:widowControl w:val="0"/>
        <w:shd w:val="clear"/>
        <w:kinsoku/>
        <w:wordWrap/>
        <w:overflowPunct/>
        <w:topLinePunct w:val="0"/>
        <w:autoSpaceDE/>
        <w:autoSpaceDN/>
        <w:bidi w:val="0"/>
        <w:adjustRightInd/>
        <w:snapToGrid/>
        <w:spacing w:line="360" w:lineRule="auto"/>
        <w:ind w:left="0" w:leftChars="0" w:firstLine="643" w:firstLineChars="200"/>
        <w:textAlignment w:val="auto"/>
        <w:outlineLvl w:val="1"/>
        <w:rPr>
          <w:rFonts w:hint="eastAsia" w:ascii="楷体" w:hAnsi="楷体" w:eastAsia="楷体" w:cs="楷体"/>
          <w:b/>
          <w:bCs/>
          <w:sz w:val="32"/>
          <w:szCs w:val="32"/>
          <w:highlight w:val="none"/>
          <w:lang w:eastAsia="zh-CN"/>
        </w:rPr>
      </w:pPr>
      <w:r>
        <w:rPr>
          <w:rFonts w:hint="eastAsia" w:ascii="楷体" w:hAnsi="楷体" w:eastAsia="楷体" w:cs="楷体"/>
          <w:b/>
          <w:bCs/>
          <w:sz w:val="32"/>
          <w:szCs w:val="32"/>
          <w:highlight w:val="none"/>
          <w:lang w:eastAsia="zh-CN"/>
        </w:rPr>
        <w:t>（四）项目资金情况</w:t>
      </w:r>
      <w:bookmarkEnd w:id="4"/>
    </w:p>
    <w:p>
      <w:pPr>
        <w:keepNext w:val="0"/>
        <w:keepLines w:val="0"/>
        <w:pageBreakBefore w:val="0"/>
        <w:widowControl w:val="0"/>
        <w:shd w:val="clear"/>
        <w:kinsoku/>
        <w:wordWrap/>
        <w:overflowPunct/>
        <w:topLinePunct w:val="0"/>
        <w:autoSpaceDE/>
        <w:autoSpaceDN/>
        <w:bidi w:val="0"/>
        <w:adjustRightInd/>
        <w:snapToGrid/>
        <w:spacing w:line="360" w:lineRule="auto"/>
        <w:ind w:left="0" w:leftChars="0" w:firstLine="643" w:firstLineChars="200"/>
        <w:textAlignment w:val="auto"/>
        <w:rPr>
          <w:rFonts w:hint="eastAsia" w:ascii="仿宋" w:hAnsi="仿宋" w:eastAsia="仿宋" w:cs="仿宋"/>
          <w:b/>
          <w:bCs/>
          <w:sz w:val="32"/>
          <w:szCs w:val="32"/>
          <w:highlight w:val="none"/>
        </w:rPr>
      </w:pPr>
      <w:bookmarkStart w:id="6" w:name="_Toc390096926"/>
      <w:r>
        <w:rPr>
          <w:rFonts w:hint="eastAsia" w:ascii="仿宋" w:hAnsi="仿宋" w:eastAsia="仿宋" w:cs="仿宋"/>
          <w:b/>
          <w:bCs/>
          <w:sz w:val="32"/>
          <w:szCs w:val="32"/>
          <w:highlight w:val="none"/>
          <w:lang w:val="en-US" w:eastAsia="zh-CN"/>
        </w:rPr>
        <w:t>1.</w:t>
      </w:r>
      <w:r>
        <w:rPr>
          <w:rFonts w:hint="eastAsia" w:ascii="仿宋" w:hAnsi="仿宋" w:eastAsia="仿宋" w:cs="仿宋"/>
          <w:b/>
          <w:bCs/>
          <w:sz w:val="32"/>
          <w:szCs w:val="32"/>
          <w:highlight w:val="none"/>
        </w:rPr>
        <w:t>资金</w:t>
      </w:r>
      <w:r>
        <w:rPr>
          <w:rFonts w:hint="eastAsia" w:ascii="仿宋" w:hAnsi="仿宋" w:eastAsia="仿宋" w:cs="仿宋"/>
          <w:b/>
          <w:bCs/>
          <w:sz w:val="32"/>
          <w:szCs w:val="32"/>
          <w:highlight w:val="none"/>
          <w:lang w:eastAsia="zh-CN"/>
        </w:rPr>
        <w:t>来源和拨付</w:t>
      </w:r>
      <w:r>
        <w:rPr>
          <w:rFonts w:hint="eastAsia" w:ascii="仿宋" w:hAnsi="仿宋" w:eastAsia="仿宋" w:cs="仿宋"/>
          <w:b/>
          <w:bCs/>
          <w:sz w:val="32"/>
          <w:szCs w:val="32"/>
          <w:highlight w:val="none"/>
        </w:rPr>
        <w:t>到位情况</w:t>
      </w:r>
      <w:bookmarkEnd w:id="6"/>
    </w:p>
    <w:p>
      <w:pPr>
        <w:pStyle w:val="11"/>
        <w:keepNext w:val="0"/>
        <w:keepLines w:val="0"/>
        <w:pageBreakBefore w:val="0"/>
        <w:widowControl w:val="0"/>
        <w:shd w:val="clear"/>
        <w:kinsoku/>
        <w:wordWrap/>
        <w:overflowPunct/>
        <w:topLinePunct w:val="0"/>
        <w:autoSpaceDE/>
        <w:autoSpaceDN/>
        <w:bidi w:val="0"/>
        <w:adjustRightInd/>
        <w:snapToGrid/>
        <w:spacing w:beforeLines="0" w:afterLines="0" w:line="360" w:lineRule="auto"/>
        <w:ind w:left="0" w:leftChars="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2020年3月13日，宝城公司的华融03962银行账户等7个双控账户到位地方政府专项债券资金共计60000万元。项目其他资金由公司自筹到位。</w:t>
      </w:r>
    </w:p>
    <w:p>
      <w:pPr>
        <w:keepNext w:val="0"/>
        <w:keepLines w:val="0"/>
        <w:pageBreakBefore w:val="0"/>
        <w:widowControl w:val="0"/>
        <w:shd w:val="clear"/>
        <w:kinsoku/>
        <w:wordWrap/>
        <w:overflowPunct/>
        <w:topLinePunct w:val="0"/>
        <w:autoSpaceDE/>
        <w:autoSpaceDN/>
        <w:bidi w:val="0"/>
        <w:adjustRightInd/>
        <w:snapToGrid/>
        <w:spacing w:line="360" w:lineRule="auto"/>
        <w:ind w:left="0" w:leftChars="0" w:firstLine="643" w:firstLineChars="200"/>
        <w:textAlignment w:val="auto"/>
        <w:rPr>
          <w:rFonts w:hint="eastAsia" w:ascii="仿宋" w:hAnsi="仿宋" w:eastAsia="仿宋" w:cs="仿宋"/>
          <w:b/>
          <w:bCs/>
          <w:sz w:val="32"/>
          <w:szCs w:val="32"/>
          <w:highlight w:val="none"/>
        </w:rPr>
      </w:pPr>
      <w:bookmarkStart w:id="7" w:name="_Toc390096927"/>
      <w:r>
        <w:rPr>
          <w:rFonts w:hint="eastAsia" w:ascii="仿宋" w:hAnsi="仿宋" w:eastAsia="仿宋" w:cs="仿宋"/>
          <w:b/>
          <w:bCs/>
          <w:sz w:val="32"/>
          <w:szCs w:val="32"/>
          <w:highlight w:val="none"/>
          <w:lang w:val="en-US" w:eastAsia="zh-CN"/>
        </w:rPr>
        <w:t>2.</w:t>
      </w:r>
      <w:r>
        <w:rPr>
          <w:rFonts w:hint="eastAsia" w:ascii="仿宋" w:hAnsi="仿宋" w:eastAsia="仿宋" w:cs="仿宋"/>
          <w:b/>
          <w:bCs/>
          <w:sz w:val="32"/>
          <w:szCs w:val="32"/>
          <w:highlight w:val="none"/>
        </w:rPr>
        <w:t>资金</w:t>
      </w:r>
      <w:r>
        <w:rPr>
          <w:rFonts w:hint="eastAsia" w:ascii="仿宋" w:hAnsi="仿宋" w:eastAsia="仿宋" w:cs="仿宋"/>
          <w:b/>
          <w:bCs/>
          <w:sz w:val="32"/>
          <w:szCs w:val="32"/>
          <w:highlight w:val="none"/>
          <w:lang w:eastAsia="zh-CN"/>
        </w:rPr>
        <w:t>使用</w:t>
      </w:r>
      <w:r>
        <w:rPr>
          <w:rFonts w:hint="eastAsia" w:ascii="仿宋" w:hAnsi="仿宋" w:eastAsia="仿宋" w:cs="仿宋"/>
          <w:b/>
          <w:bCs/>
          <w:sz w:val="32"/>
          <w:szCs w:val="32"/>
          <w:highlight w:val="none"/>
        </w:rPr>
        <w:t>情况</w:t>
      </w:r>
      <w:bookmarkEnd w:id="7"/>
    </w:p>
    <w:p>
      <w:pPr>
        <w:keepNext w:val="0"/>
        <w:keepLines w:val="0"/>
        <w:pageBreakBefore w:val="0"/>
        <w:widowControl w:val="0"/>
        <w:shd w:val="clear"/>
        <w:kinsoku/>
        <w:wordWrap/>
        <w:overflowPunct/>
        <w:topLinePunct w:val="0"/>
        <w:autoSpaceDE/>
        <w:autoSpaceDN/>
        <w:bidi w:val="0"/>
        <w:adjustRightInd/>
        <w:snapToGrid/>
        <w:spacing w:line="360" w:lineRule="auto"/>
        <w:ind w:left="0" w:leftChars="0" w:firstLine="640" w:firstLineChars="200"/>
        <w:textAlignment w:val="auto"/>
        <w:rPr>
          <w:rFonts w:hint="eastAsia" w:ascii="仿宋" w:hAnsi="仿宋" w:eastAsia="仿宋" w:cs="仿宋"/>
          <w:sz w:val="32"/>
          <w:szCs w:val="32"/>
          <w:highlight w:val="none"/>
        </w:rPr>
      </w:pPr>
      <w:r>
        <w:rPr>
          <w:rFonts w:hint="eastAsia" w:ascii="仿宋" w:hAnsi="仿宋" w:eastAsia="仿宋" w:cs="仿宋"/>
          <w:sz w:val="32"/>
          <w:szCs w:val="32"/>
          <w:highlight w:val="none"/>
        </w:rPr>
        <w:t>截至20</w:t>
      </w:r>
      <w:r>
        <w:rPr>
          <w:rFonts w:hint="eastAsia" w:ascii="仿宋" w:hAnsi="仿宋" w:eastAsia="仿宋" w:cs="仿宋"/>
          <w:sz w:val="32"/>
          <w:szCs w:val="32"/>
          <w:highlight w:val="none"/>
          <w:lang w:val="en-US" w:eastAsia="zh-CN"/>
        </w:rPr>
        <w:t>22</w:t>
      </w:r>
      <w:r>
        <w:rPr>
          <w:rFonts w:hint="eastAsia" w:ascii="仿宋" w:hAnsi="仿宋" w:eastAsia="仿宋" w:cs="仿宋"/>
          <w:sz w:val="32"/>
          <w:szCs w:val="32"/>
          <w:highlight w:val="none"/>
        </w:rPr>
        <w:t>年</w:t>
      </w:r>
      <w:r>
        <w:rPr>
          <w:rFonts w:hint="eastAsia" w:ascii="仿宋" w:hAnsi="仿宋" w:eastAsia="仿宋" w:cs="仿宋"/>
          <w:sz w:val="32"/>
          <w:szCs w:val="32"/>
          <w:highlight w:val="none"/>
          <w:lang w:val="en-US" w:eastAsia="zh-CN"/>
        </w:rPr>
        <w:t>6月底</w:t>
      </w:r>
      <w:r>
        <w:rPr>
          <w:rFonts w:hint="eastAsia" w:ascii="仿宋" w:hAnsi="仿宋" w:eastAsia="仿宋" w:cs="仿宋"/>
          <w:sz w:val="32"/>
          <w:szCs w:val="32"/>
          <w:highlight w:val="none"/>
        </w:rPr>
        <w:t>，</w:t>
      </w:r>
      <w:r>
        <w:rPr>
          <w:rFonts w:hint="eastAsia" w:ascii="仿宋" w:hAnsi="仿宋" w:eastAsia="仿宋" w:cs="仿宋"/>
          <w:sz w:val="32"/>
          <w:szCs w:val="32"/>
          <w:highlight w:val="none"/>
          <w:lang w:eastAsia="zh-CN"/>
        </w:rPr>
        <w:t>项目实际总支出</w:t>
      </w:r>
      <w:r>
        <w:rPr>
          <w:rFonts w:hint="eastAsia" w:ascii="仿宋" w:hAnsi="仿宋" w:eastAsia="仿宋" w:cs="仿宋"/>
          <w:sz w:val="32"/>
          <w:szCs w:val="32"/>
          <w:highlight w:val="none"/>
          <w:lang w:val="en-US" w:eastAsia="zh-CN"/>
        </w:rPr>
        <w:t>75250.27万元，预算执行率93.25%，其中专债资金</w:t>
      </w:r>
      <w:r>
        <w:rPr>
          <w:rFonts w:hint="eastAsia" w:ascii="仿宋" w:hAnsi="仿宋" w:eastAsia="仿宋" w:cs="仿宋"/>
          <w:sz w:val="32"/>
          <w:szCs w:val="32"/>
          <w:highlight w:val="none"/>
          <w:lang w:eastAsia="zh-CN"/>
        </w:rPr>
        <w:t>支出</w:t>
      </w:r>
      <w:r>
        <w:rPr>
          <w:rFonts w:hint="eastAsia" w:ascii="仿宋" w:hAnsi="仿宋" w:eastAsia="仿宋" w:cs="仿宋"/>
          <w:sz w:val="32"/>
          <w:szCs w:val="32"/>
          <w:highlight w:val="none"/>
          <w:lang w:val="en-US" w:eastAsia="zh-CN"/>
        </w:rPr>
        <w:t>52083.90</w:t>
      </w:r>
      <w:r>
        <w:rPr>
          <w:rFonts w:hint="eastAsia" w:ascii="仿宋" w:hAnsi="仿宋" w:eastAsia="仿宋" w:cs="仿宋"/>
          <w:sz w:val="32"/>
          <w:szCs w:val="32"/>
          <w:highlight w:val="none"/>
        </w:rPr>
        <w:t>元，</w:t>
      </w:r>
      <w:r>
        <w:rPr>
          <w:rFonts w:hint="eastAsia" w:ascii="仿宋" w:hAnsi="仿宋" w:eastAsia="仿宋" w:cs="仿宋"/>
          <w:sz w:val="32"/>
          <w:szCs w:val="32"/>
          <w:highlight w:val="none"/>
          <w:lang w:eastAsia="zh-CN"/>
        </w:rPr>
        <w:t>预算执行率</w:t>
      </w:r>
      <w:r>
        <w:rPr>
          <w:rFonts w:hint="eastAsia" w:ascii="仿宋" w:hAnsi="仿宋" w:eastAsia="仿宋" w:cs="仿宋"/>
          <w:sz w:val="32"/>
          <w:szCs w:val="32"/>
          <w:highlight w:val="none"/>
          <w:lang w:val="en-US" w:eastAsia="zh-CN"/>
        </w:rPr>
        <w:t>86.81%，专债</w:t>
      </w:r>
      <w:r>
        <w:rPr>
          <w:rFonts w:hint="eastAsia" w:ascii="仿宋" w:hAnsi="仿宋" w:eastAsia="仿宋" w:cs="仿宋"/>
          <w:sz w:val="32"/>
          <w:szCs w:val="32"/>
          <w:highlight w:val="none"/>
        </w:rPr>
        <w:t>支出项目及金额如下：</w:t>
      </w:r>
    </w:p>
    <w:p>
      <w:pPr>
        <w:keepNext w:val="0"/>
        <w:keepLines w:val="0"/>
        <w:pageBreakBefore w:val="0"/>
        <w:widowControl w:val="0"/>
        <w:shd w:val="clear"/>
        <w:kinsoku/>
        <w:wordWrap/>
        <w:overflowPunct/>
        <w:topLinePunct w:val="0"/>
        <w:autoSpaceDE/>
        <w:autoSpaceDN/>
        <w:bidi w:val="0"/>
        <w:adjustRightInd/>
        <w:snapToGrid w:val="0"/>
        <w:spacing w:line="240" w:lineRule="atLeast"/>
        <w:ind w:left="0" w:leftChars="0" w:firstLine="643" w:firstLineChars="200"/>
        <w:jc w:val="center"/>
        <w:textAlignment w:val="auto"/>
        <w:rPr>
          <w:rFonts w:hint="eastAsia" w:ascii="仿宋" w:hAnsi="仿宋" w:eastAsia="仿宋" w:cs="仿宋"/>
          <w:b/>
          <w:bCs/>
          <w:sz w:val="32"/>
          <w:szCs w:val="32"/>
          <w:highlight w:val="none"/>
          <w:lang w:val="en-US" w:eastAsia="zh-CN"/>
        </w:rPr>
      </w:pPr>
      <w:r>
        <w:rPr>
          <w:rFonts w:hint="eastAsia" w:ascii="仿宋" w:hAnsi="仿宋" w:eastAsia="仿宋" w:cs="仿宋"/>
          <w:b/>
          <w:bCs/>
          <w:sz w:val="32"/>
          <w:szCs w:val="32"/>
          <w:highlight w:val="none"/>
          <w:lang w:val="en-US" w:eastAsia="zh-CN"/>
        </w:rPr>
        <w:t>60000万元</w:t>
      </w:r>
      <w:r>
        <w:rPr>
          <w:rFonts w:hint="eastAsia" w:ascii="仿宋" w:hAnsi="仿宋" w:eastAsia="仿宋" w:cs="仿宋"/>
          <w:b/>
          <w:bCs/>
          <w:sz w:val="32"/>
          <w:szCs w:val="32"/>
          <w:highlight w:val="none"/>
          <w:lang w:eastAsia="zh-CN"/>
        </w:rPr>
        <w:t>专项债券资金使用情况表</w:t>
      </w:r>
    </w:p>
    <w:p>
      <w:pPr>
        <w:keepNext w:val="0"/>
        <w:keepLines w:val="0"/>
        <w:pageBreakBefore w:val="0"/>
        <w:widowControl w:val="0"/>
        <w:shd w:val="clear"/>
        <w:kinsoku/>
        <w:wordWrap/>
        <w:overflowPunct/>
        <w:topLinePunct w:val="0"/>
        <w:autoSpaceDE/>
        <w:autoSpaceDN/>
        <w:bidi w:val="0"/>
        <w:adjustRightInd/>
        <w:snapToGrid w:val="0"/>
        <w:spacing w:line="240" w:lineRule="atLeast"/>
        <w:ind w:left="0" w:leftChars="0" w:firstLine="640" w:firstLineChars="200"/>
        <w:jc w:val="right"/>
        <w:textAlignment w:val="auto"/>
        <w:rPr>
          <w:rFonts w:hint="eastAsia" w:ascii="仿宋" w:hAnsi="仿宋" w:eastAsia="仿宋" w:cs="仿宋"/>
          <w:b w:val="0"/>
          <w:bCs w:val="0"/>
          <w:sz w:val="32"/>
          <w:szCs w:val="32"/>
          <w:highlight w:val="none"/>
          <w:lang w:val="en-US" w:eastAsia="zh-CN"/>
        </w:rPr>
      </w:pPr>
      <w:r>
        <w:rPr>
          <w:rFonts w:hint="eastAsia" w:ascii="仿宋" w:hAnsi="仿宋" w:eastAsia="仿宋" w:cs="仿宋"/>
          <w:b w:val="0"/>
          <w:bCs w:val="0"/>
          <w:sz w:val="32"/>
          <w:szCs w:val="32"/>
          <w:highlight w:val="none"/>
          <w:lang w:val="en-US" w:eastAsia="zh-CN"/>
        </w:rPr>
        <w:t>金额单位：万元</w:t>
      </w:r>
    </w:p>
    <w:tbl>
      <w:tblPr>
        <w:tblStyle w:val="12"/>
        <w:tblW w:w="10609" w:type="dxa"/>
        <w:tblInd w:w="-762" w:type="dxa"/>
        <w:shd w:val="clear" w:color="auto" w:fill="auto"/>
        <w:tblLayout w:type="fixed"/>
        <w:tblCellMar>
          <w:top w:w="0" w:type="dxa"/>
          <w:left w:w="0" w:type="dxa"/>
          <w:bottom w:w="0" w:type="dxa"/>
          <w:right w:w="0" w:type="dxa"/>
        </w:tblCellMar>
      </w:tblPr>
      <w:tblGrid>
        <w:gridCol w:w="628"/>
        <w:gridCol w:w="1404"/>
        <w:gridCol w:w="1173"/>
        <w:gridCol w:w="1254"/>
        <w:gridCol w:w="1610"/>
        <w:gridCol w:w="2440"/>
        <w:gridCol w:w="2100"/>
      </w:tblGrid>
      <w:tr>
        <w:tblPrEx>
          <w:tblCellMar>
            <w:top w:w="0" w:type="dxa"/>
            <w:left w:w="0" w:type="dxa"/>
            <w:bottom w:w="0" w:type="dxa"/>
            <w:right w:w="0" w:type="dxa"/>
          </w:tblCellMar>
        </w:tblPrEx>
        <w:trPr>
          <w:trHeight w:val="270" w:hRule="atLeast"/>
          <w:tblHeader/>
        </w:trPr>
        <w:tc>
          <w:tcPr>
            <w:tcW w:w="62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shd w:val="clear"/>
              <w:kinsoku/>
              <w:wordWrap/>
              <w:overflowPunct/>
              <w:topLinePunct w:val="0"/>
              <w:autoSpaceDE/>
              <w:autoSpaceDN/>
              <w:bidi w:val="0"/>
              <w:adjustRightInd/>
              <w:spacing w:line="360" w:lineRule="auto"/>
              <w:ind w:left="0" w:leftChars="0"/>
              <w:jc w:val="center"/>
              <w:textAlignment w:val="center"/>
              <w:rPr>
                <w:rFonts w:hint="eastAsia" w:ascii="仿宋" w:hAnsi="仿宋" w:eastAsia="仿宋" w:cs="仿宋"/>
                <w:b/>
                <w:bCs/>
                <w:i w:val="0"/>
                <w:color w:val="000000"/>
                <w:sz w:val="21"/>
                <w:szCs w:val="21"/>
                <w:highlight w:val="none"/>
                <w:u w:val="none"/>
              </w:rPr>
            </w:pPr>
            <w:r>
              <w:rPr>
                <w:rFonts w:hint="eastAsia" w:ascii="仿宋" w:hAnsi="仿宋" w:eastAsia="仿宋" w:cs="仿宋"/>
                <w:b/>
                <w:bCs/>
                <w:i w:val="0"/>
                <w:color w:val="000000"/>
                <w:kern w:val="0"/>
                <w:sz w:val="21"/>
                <w:szCs w:val="21"/>
                <w:highlight w:val="none"/>
                <w:u w:val="none"/>
                <w:lang w:val="en-US" w:eastAsia="zh-CN" w:bidi="ar"/>
              </w:rPr>
              <w:t>序号</w:t>
            </w:r>
          </w:p>
        </w:tc>
        <w:tc>
          <w:tcPr>
            <w:tcW w:w="140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shd w:val="clear"/>
              <w:kinsoku/>
              <w:wordWrap/>
              <w:overflowPunct/>
              <w:topLinePunct w:val="0"/>
              <w:autoSpaceDE/>
              <w:autoSpaceDN/>
              <w:bidi w:val="0"/>
              <w:adjustRightInd/>
              <w:spacing w:line="360" w:lineRule="auto"/>
              <w:ind w:left="0" w:leftChars="0"/>
              <w:jc w:val="center"/>
              <w:textAlignment w:val="center"/>
              <w:rPr>
                <w:rFonts w:hint="eastAsia" w:ascii="仿宋" w:hAnsi="仿宋" w:eastAsia="仿宋" w:cs="仿宋"/>
                <w:b/>
                <w:bCs/>
                <w:i w:val="0"/>
                <w:color w:val="000000"/>
                <w:sz w:val="21"/>
                <w:szCs w:val="21"/>
                <w:highlight w:val="none"/>
                <w:u w:val="none"/>
              </w:rPr>
            </w:pPr>
            <w:r>
              <w:rPr>
                <w:rFonts w:hint="eastAsia" w:ascii="仿宋" w:hAnsi="仿宋" w:eastAsia="仿宋" w:cs="仿宋"/>
                <w:b/>
                <w:bCs/>
                <w:i w:val="0"/>
                <w:color w:val="000000"/>
                <w:kern w:val="0"/>
                <w:sz w:val="21"/>
                <w:szCs w:val="21"/>
                <w:highlight w:val="none"/>
                <w:u w:val="none"/>
                <w:lang w:val="en-US" w:eastAsia="zh-CN" w:bidi="ar"/>
              </w:rPr>
              <w:t>支出项目</w:t>
            </w:r>
          </w:p>
        </w:tc>
        <w:tc>
          <w:tcPr>
            <w:tcW w:w="117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shd w:val="clear"/>
              <w:kinsoku/>
              <w:wordWrap/>
              <w:overflowPunct/>
              <w:topLinePunct w:val="0"/>
              <w:autoSpaceDE/>
              <w:autoSpaceDN/>
              <w:bidi w:val="0"/>
              <w:adjustRightInd/>
              <w:spacing w:line="360" w:lineRule="auto"/>
              <w:ind w:left="0" w:leftChars="0"/>
              <w:jc w:val="center"/>
              <w:textAlignment w:val="center"/>
              <w:rPr>
                <w:rFonts w:hint="eastAsia" w:ascii="仿宋" w:hAnsi="仿宋" w:eastAsia="仿宋" w:cs="仿宋"/>
                <w:b/>
                <w:bCs/>
                <w:i w:val="0"/>
                <w:color w:val="000000"/>
                <w:sz w:val="21"/>
                <w:szCs w:val="21"/>
                <w:highlight w:val="none"/>
                <w:u w:val="none"/>
              </w:rPr>
            </w:pPr>
            <w:r>
              <w:rPr>
                <w:rFonts w:hint="eastAsia" w:ascii="仿宋" w:hAnsi="仿宋" w:eastAsia="仿宋" w:cs="仿宋"/>
                <w:b/>
                <w:bCs/>
                <w:i w:val="0"/>
                <w:color w:val="000000"/>
                <w:kern w:val="0"/>
                <w:sz w:val="21"/>
                <w:szCs w:val="21"/>
                <w:highlight w:val="none"/>
                <w:u w:val="none"/>
                <w:lang w:val="en-US" w:eastAsia="zh-CN" w:bidi="ar"/>
              </w:rPr>
              <w:t>支出金额</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shd w:val="clear"/>
              <w:kinsoku/>
              <w:wordWrap/>
              <w:overflowPunct/>
              <w:topLinePunct w:val="0"/>
              <w:autoSpaceDE/>
              <w:autoSpaceDN/>
              <w:bidi w:val="0"/>
              <w:adjustRightInd/>
              <w:spacing w:line="360" w:lineRule="auto"/>
              <w:ind w:left="0" w:leftChars="0"/>
              <w:jc w:val="center"/>
              <w:textAlignment w:val="center"/>
              <w:rPr>
                <w:rFonts w:hint="eastAsia" w:ascii="仿宋" w:hAnsi="仿宋" w:eastAsia="仿宋" w:cs="仿宋"/>
                <w:b/>
                <w:bCs/>
                <w:i w:val="0"/>
                <w:color w:val="000000"/>
                <w:sz w:val="21"/>
                <w:szCs w:val="21"/>
                <w:highlight w:val="none"/>
                <w:u w:val="none"/>
                <w:lang w:val="en-US"/>
              </w:rPr>
            </w:pPr>
            <w:r>
              <w:rPr>
                <w:rFonts w:hint="eastAsia" w:ascii="仿宋" w:hAnsi="仿宋" w:eastAsia="仿宋" w:cs="仿宋"/>
                <w:b/>
                <w:bCs/>
                <w:i w:val="0"/>
                <w:color w:val="000000"/>
                <w:kern w:val="0"/>
                <w:sz w:val="21"/>
                <w:szCs w:val="21"/>
                <w:highlight w:val="none"/>
                <w:u w:val="none"/>
                <w:lang w:val="en-US" w:eastAsia="zh-CN" w:bidi="ar"/>
              </w:rPr>
              <w:t>合同金额</w:t>
            </w:r>
          </w:p>
        </w:tc>
        <w:tc>
          <w:tcPr>
            <w:tcW w:w="16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shd w:val="clear"/>
              <w:kinsoku/>
              <w:wordWrap/>
              <w:overflowPunct/>
              <w:topLinePunct w:val="0"/>
              <w:autoSpaceDE/>
              <w:autoSpaceDN/>
              <w:bidi w:val="0"/>
              <w:adjustRightInd/>
              <w:spacing w:line="360" w:lineRule="auto"/>
              <w:ind w:left="0" w:leftChars="0"/>
              <w:jc w:val="center"/>
              <w:textAlignment w:val="center"/>
              <w:rPr>
                <w:rFonts w:hint="eastAsia" w:ascii="仿宋" w:hAnsi="仿宋" w:eastAsia="仿宋" w:cs="仿宋"/>
                <w:b/>
                <w:bCs/>
                <w:i w:val="0"/>
                <w:color w:val="000000"/>
                <w:kern w:val="0"/>
                <w:sz w:val="21"/>
                <w:szCs w:val="21"/>
                <w:highlight w:val="none"/>
                <w:u w:val="none"/>
                <w:lang w:val="en-US" w:eastAsia="zh-CN" w:bidi="ar"/>
              </w:rPr>
            </w:pPr>
            <w:r>
              <w:rPr>
                <w:rFonts w:hint="eastAsia" w:ascii="仿宋" w:hAnsi="仿宋" w:eastAsia="仿宋" w:cs="仿宋"/>
                <w:b/>
                <w:bCs/>
                <w:i w:val="0"/>
                <w:color w:val="000000"/>
                <w:kern w:val="0"/>
                <w:sz w:val="21"/>
                <w:szCs w:val="21"/>
                <w:highlight w:val="none"/>
                <w:u w:val="none"/>
                <w:lang w:val="en-US" w:eastAsia="zh-CN" w:bidi="ar"/>
              </w:rPr>
              <w:t>待付合同金额</w:t>
            </w:r>
          </w:p>
        </w:tc>
        <w:tc>
          <w:tcPr>
            <w:tcW w:w="24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shd w:val="clear"/>
              <w:kinsoku/>
              <w:wordWrap/>
              <w:overflowPunct/>
              <w:topLinePunct w:val="0"/>
              <w:autoSpaceDE/>
              <w:autoSpaceDN/>
              <w:bidi w:val="0"/>
              <w:adjustRightInd/>
              <w:spacing w:line="360" w:lineRule="auto"/>
              <w:ind w:left="0" w:leftChars="0"/>
              <w:jc w:val="center"/>
              <w:textAlignment w:val="center"/>
              <w:rPr>
                <w:rFonts w:hint="eastAsia" w:ascii="仿宋" w:hAnsi="仿宋" w:eastAsia="仿宋" w:cs="仿宋"/>
                <w:b/>
                <w:bCs/>
                <w:i w:val="0"/>
                <w:color w:val="000000"/>
                <w:kern w:val="0"/>
                <w:sz w:val="21"/>
                <w:szCs w:val="21"/>
                <w:highlight w:val="none"/>
                <w:u w:val="none"/>
                <w:lang w:val="en-US" w:eastAsia="zh-CN" w:bidi="ar"/>
              </w:rPr>
            </w:pPr>
            <w:r>
              <w:rPr>
                <w:rFonts w:hint="eastAsia" w:ascii="仿宋" w:hAnsi="仿宋" w:eastAsia="仿宋" w:cs="仿宋"/>
                <w:b/>
                <w:bCs/>
                <w:i w:val="0"/>
                <w:color w:val="000000"/>
                <w:kern w:val="0"/>
                <w:sz w:val="21"/>
                <w:szCs w:val="21"/>
                <w:highlight w:val="none"/>
                <w:u w:val="none"/>
                <w:lang w:val="en-US" w:eastAsia="zh-CN" w:bidi="ar"/>
              </w:rPr>
              <w:t>收款单位</w:t>
            </w:r>
          </w:p>
        </w:tc>
        <w:tc>
          <w:tcPr>
            <w:tcW w:w="21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shd w:val="clear"/>
              <w:kinsoku/>
              <w:wordWrap/>
              <w:overflowPunct/>
              <w:topLinePunct w:val="0"/>
              <w:autoSpaceDE/>
              <w:autoSpaceDN/>
              <w:bidi w:val="0"/>
              <w:adjustRightInd/>
              <w:spacing w:line="360" w:lineRule="auto"/>
              <w:ind w:left="0" w:leftChars="0"/>
              <w:jc w:val="center"/>
              <w:textAlignment w:val="center"/>
              <w:rPr>
                <w:rFonts w:hint="eastAsia" w:ascii="仿宋" w:hAnsi="仿宋" w:eastAsia="仿宋" w:cs="仿宋"/>
                <w:b/>
                <w:bCs/>
                <w:i w:val="0"/>
                <w:color w:val="000000"/>
                <w:kern w:val="0"/>
                <w:sz w:val="21"/>
                <w:szCs w:val="21"/>
                <w:highlight w:val="none"/>
                <w:u w:val="none"/>
                <w:lang w:val="en-US" w:eastAsia="zh-CN" w:bidi="ar"/>
              </w:rPr>
            </w:pPr>
            <w:r>
              <w:rPr>
                <w:rFonts w:hint="eastAsia" w:ascii="仿宋" w:hAnsi="仿宋" w:eastAsia="仿宋" w:cs="仿宋"/>
                <w:b/>
                <w:bCs/>
                <w:i w:val="0"/>
                <w:color w:val="000000"/>
                <w:kern w:val="0"/>
                <w:sz w:val="21"/>
                <w:szCs w:val="21"/>
                <w:highlight w:val="none"/>
                <w:u w:val="none"/>
                <w:lang w:val="en-US" w:eastAsia="zh-CN" w:bidi="ar"/>
              </w:rPr>
              <w:t>备注</w:t>
            </w:r>
          </w:p>
        </w:tc>
      </w:tr>
      <w:tr>
        <w:tblPrEx>
          <w:shd w:val="clear" w:color="auto" w:fill="auto"/>
          <w:tblCellMar>
            <w:top w:w="0" w:type="dxa"/>
            <w:left w:w="0" w:type="dxa"/>
            <w:bottom w:w="0" w:type="dxa"/>
            <w:right w:w="0" w:type="dxa"/>
          </w:tblCellMar>
        </w:tblPrEx>
        <w:trPr>
          <w:trHeight w:val="270" w:hRule="atLeast"/>
        </w:trPr>
        <w:tc>
          <w:tcPr>
            <w:tcW w:w="62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shd w:val="clear"/>
              <w:kinsoku/>
              <w:wordWrap/>
              <w:overflowPunct/>
              <w:topLinePunct w:val="0"/>
              <w:autoSpaceDE/>
              <w:autoSpaceDN/>
              <w:bidi w:val="0"/>
              <w:adjustRightInd/>
              <w:spacing w:line="360" w:lineRule="auto"/>
              <w:ind w:left="0" w:leftChars="0"/>
              <w:jc w:val="center"/>
              <w:textAlignment w:val="center"/>
              <w:rPr>
                <w:rFonts w:hint="eastAsia" w:ascii="仿宋" w:hAnsi="仿宋" w:eastAsia="仿宋" w:cs="仿宋"/>
                <w:i w:val="0"/>
                <w:color w:val="000000"/>
                <w:sz w:val="21"/>
                <w:szCs w:val="21"/>
                <w:highlight w:val="none"/>
                <w:u w:val="none"/>
              </w:rPr>
            </w:pPr>
            <w:r>
              <w:rPr>
                <w:rFonts w:hint="eastAsia" w:ascii="仿宋" w:hAnsi="仿宋" w:eastAsia="仿宋" w:cs="仿宋"/>
                <w:i w:val="0"/>
                <w:color w:val="000000"/>
                <w:kern w:val="0"/>
                <w:sz w:val="21"/>
                <w:szCs w:val="21"/>
                <w:highlight w:val="none"/>
                <w:u w:val="none"/>
                <w:lang w:val="en-US" w:eastAsia="zh-CN" w:bidi="ar"/>
              </w:rPr>
              <w:t>1</w:t>
            </w:r>
          </w:p>
        </w:tc>
        <w:tc>
          <w:tcPr>
            <w:tcW w:w="140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shd w:val="clear"/>
              <w:kinsoku/>
              <w:wordWrap/>
              <w:overflowPunct/>
              <w:topLinePunct w:val="0"/>
              <w:autoSpaceDE/>
              <w:autoSpaceDN/>
              <w:bidi w:val="0"/>
              <w:adjustRightInd/>
              <w:spacing w:line="360" w:lineRule="auto"/>
              <w:ind w:left="0" w:leftChars="0"/>
              <w:jc w:val="center"/>
              <w:textAlignment w:val="center"/>
              <w:rPr>
                <w:rFonts w:hint="eastAsia" w:ascii="仿宋" w:hAnsi="仿宋" w:eastAsia="仿宋" w:cs="仿宋"/>
                <w:i w:val="0"/>
                <w:color w:val="000000"/>
                <w:sz w:val="21"/>
                <w:szCs w:val="21"/>
                <w:highlight w:val="none"/>
                <w:u w:val="none"/>
              </w:rPr>
            </w:pPr>
            <w:r>
              <w:rPr>
                <w:rFonts w:hint="eastAsia" w:ascii="仿宋" w:hAnsi="仿宋" w:eastAsia="仿宋" w:cs="仿宋"/>
                <w:i w:val="0"/>
                <w:color w:val="000000"/>
                <w:kern w:val="0"/>
                <w:sz w:val="21"/>
                <w:szCs w:val="21"/>
                <w:highlight w:val="none"/>
                <w:u w:val="none"/>
                <w:lang w:val="en-US" w:eastAsia="zh-CN" w:bidi="ar"/>
              </w:rPr>
              <w:t>征地拆迁款</w:t>
            </w:r>
          </w:p>
        </w:tc>
        <w:tc>
          <w:tcPr>
            <w:tcW w:w="117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shd w:val="clear"/>
              <w:kinsoku/>
              <w:wordWrap/>
              <w:overflowPunct/>
              <w:topLinePunct w:val="0"/>
              <w:autoSpaceDE/>
              <w:autoSpaceDN/>
              <w:bidi w:val="0"/>
              <w:adjustRightInd/>
              <w:spacing w:line="360" w:lineRule="auto"/>
              <w:ind w:left="0" w:leftChars="0"/>
              <w:jc w:val="center"/>
              <w:textAlignment w:val="center"/>
              <w:rPr>
                <w:rFonts w:hint="eastAsia" w:ascii="仿宋" w:hAnsi="仿宋" w:eastAsia="仿宋" w:cs="仿宋"/>
                <w:i w:val="0"/>
                <w:color w:val="000000"/>
                <w:sz w:val="21"/>
                <w:szCs w:val="21"/>
                <w:highlight w:val="none"/>
                <w:u w:val="none"/>
                <w:lang w:val="en-US" w:eastAsia="zh-CN"/>
              </w:rPr>
            </w:pPr>
            <w:r>
              <w:rPr>
                <w:rFonts w:hint="eastAsia" w:ascii="仿宋" w:hAnsi="仿宋" w:eastAsia="仿宋" w:cs="仿宋"/>
                <w:i w:val="0"/>
                <w:color w:val="000000"/>
                <w:sz w:val="21"/>
                <w:szCs w:val="21"/>
                <w:highlight w:val="none"/>
                <w:u w:val="none"/>
                <w:lang w:val="en-US" w:eastAsia="zh-CN"/>
              </w:rPr>
              <w:t>24999.35</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shd w:val="clear"/>
              <w:kinsoku/>
              <w:wordWrap/>
              <w:overflowPunct/>
              <w:topLinePunct w:val="0"/>
              <w:autoSpaceDE/>
              <w:autoSpaceDN/>
              <w:bidi w:val="0"/>
              <w:adjustRightInd/>
              <w:spacing w:line="360" w:lineRule="auto"/>
              <w:ind w:left="0" w:leftChars="0"/>
              <w:jc w:val="center"/>
              <w:textAlignment w:val="center"/>
              <w:rPr>
                <w:rFonts w:hint="eastAsia" w:ascii="仿宋" w:hAnsi="仿宋" w:eastAsia="仿宋" w:cs="仿宋"/>
                <w:i w:val="0"/>
                <w:color w:val="000000"/>
                <w:sz w:val="21"/>
                <w:szCs w:val="21"/>
                <w:highlight w:val="none"/>
                <w:u w:val="none"/>
                <w:lang w:val="en-US" w:eastAsia="zh-CN"/>
              </w:rPr>
            </w:pPr>
            <w:r>
              <w:rPr>
                <w:rFonts w:hint="eastAsia" w:ascii="仿宋" w:hAnsi="仿宋" w:eastAsia="仿宋" w:cs="仿宋"/>
                <w:i w:val="0"/>
                <w:color w:val="000000"/>
                <w:sz w:val="21"/>
                <w:szCs w:val="21"/>
                <w:highlight w:val="none"/>
                <w:u w:val="none"/>
                <w:lang w:val="en-US" w:eastAsia="zh-CN"/>
              </w:rPr>
              <w:t>25423.43</w:t>
            </w:r>
          </w:p>
        </w:tc>
        <w:tc>
          <w:tcPr>
            <w:tcW w:w="16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shd w:val="clear"/>
              <w:kinsoku/>
              <w:wordWrap/>
              <w:overflowPunct/>
              <w:topLinePunct w:val="0"/>
              <w:autoSpaceDE/>
              <w:autoSpaceDN/>
              <w:bidi w:val="0"/>
              <w:adjustRightInd/>
              <w:spacing w:line="360" w:lineRule="auto"/>
              <w:jc w:val="center"/>
              <w:rPr>
                <w:rFonts w:hint="eastAsia" w:ascii="仿宋" w:hAnsi="仿宋" w:eastAsia="仿宋" w:cs="仿宋"/>
                <w:i w:val="0"/>
                <w:color w:val="000000"/>
                <w:sz w:val="21"/>
                <w:szCs w:val="21"/>
                <w:highlight w:val="none"/>
                <w:u w:val="none"/>
                <w:lang w:val="en-US" w:eastAsia="zh-CN"/>
              </w:rPr>
            </w:pPr>
            <w:r>
              <w:rPr>
                <w:rFonts w:hint="eastAsia" w:ascii="仿宋" w:hAnsi="仿宋" w:eastAsia="仿宋" w:cs="仿宋"/>
                <w:i w:val="0"/>
                <w:color w:val="000000"/>
                <w:sz w:val="21"/>
                <w:szCs w:val="21"/>
                <w:highlight w:val="none"/>
                <w:u w:val="none"/>
                <w:lang w:val="en-US" w:eastAsia="zh-CN"/>
              </w:rPr>
              <w:t>0</w:t>
            </w:r>
          </w:p>
        </w:tc>
        <w:tc>
          <w:tcPr>
            <w:tcW w:w="24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shd w:val="clear"/>
              <w:kinsoku/>
              <w:wordWrap/>
              <w:overflowPunct/>
              <w:topLinePunct w:val="0"/>
              <w:autoSpaceDE/>
              <w:autoSpaceDN/>
              <w:bidi w:val="0"/>
              <w:adjustRightInd/>
              <w:spacing w:line="360" w:lineRule="auto"/>
              <w:ind w:left="0" w:leftChars="0"/>
              <w:jc w:val="center"/>
              <w:textAlignment w:val="center"/>
              <w:rPr>
                <w:rFonts w:hint="eastAsia" w:ascii="仿宋" w:hAnsi="仿宋" w:eastAsia="仿宋" w:cs="仿宋"/>
                <w:i w:val="0"/>
                <w:color w:val="000000"/>
                <w:kern w:val="0"/>
                <w:sz w:val="21"/>
                <w:szCs w:val="21"/>
                <w:highlight w:val="none"/>
                <w:u w:val="none"/>
                <w:lang w:val="en-US" w:eastAsia="zh-CN" w:bidi="ar"/>
              </w:rPr>
            </w:pPr>
            <w:r>
              <w:rPr>
                <w:rFonts w:hint="eastAsia" w:ascii="仿宋" w:hAnsi="仿宋" w:eastAsia="仿宋" w:cs="仿宋"/>
                <w:sz w:val="21"/>
                <w:szCs w:val="21"/>
                <w:highlight w:val="none"/>
                <w:lang w:val="en-US" w:eastAsia="zh-CN"/>
              </w:rPr>
              <w:t>邵阳市经开区征地拆迁中心</w:t>
            </w:r>
          </w:p>
        </w:tc>
        <w:tc>
          <w:tcPr>
            <w:tcW w:w="21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shd w:val="clear"/>
              <w:kinsoku/>
              <w:wordWrap/>
              <w:overflowPunct/>
              <w:topLinePunct w:val="0"/>
              <w:autoSpaceDE/>
              <w:autoSpaceDN/>
              <w:bidi w:val="0"/>
              <w:adjustRightInd/>
              <w:spacing w:line="360" w:lineRule="auto"/>
              <w:ind w:left="0" w:leftChars="0"/>
              <w:jc w:val="both"/>
              <w:textAlignment w:val="center"/>
              <w:rPr>
                <w:rFonts w:hint="eastAsia" w:ascii="仿宋" w:hAnsi="仿宋" w:eastAsia="仿宋" w:cs="仿宋"/>
                <w:i w:val="0"/>
                <w:color w:val="000000"/>
                <w:kern w:val="0"/>
                <w:sz w:val="21"/>
                <w:szCs w:val="21"/>
                <w:highlight w:val="none"/>
                <w:u w:val="none"/>
                <w:lang w:val="en-US" w:eastAsia="zh-CN" w:bidi="ar"/>
              </w:rPr>
            </w:pPr>
            <w:r>
              <w:rPr>
                <w:rFonts w:hint="eastAsia" w:ascii="仿宋" w:hAnsi="仿宋" w:eastAsia="仿宋" w:cs="仿宋"/>
                <w:i w:val="0"/>
                <w:color w:val="000000"/>
                <w:kern w:val="0"/>
                <w:sz w:val="21"/>
                <w:szCs w:val="21"/>
                <w:highlight w:val="none"/>
                <w:u w:val="none"/>
                <w:lang w:val="en-US" w:eastAsia="zh-CN" w:bidi="ar"/>
              </w:rPr>
              <w:t>无未付合同是因以自有资金支付</w:t>
            </w:r>
          </w:p>
        </w:tc>
      </w:tr>
      <w:tr>
        <w:tblPrEx>
          <w:shd w:val="clear" w:color="auto" w:fill="auto"/>
          <w:tblCellMar>
            <w:top w:w="0" w:type="dxa"/>
            <w:left w:w="0" w:type="dxa"/>
            <w:bottom w:w="0" w:type="dxa"/>
            <w:right w:w="0" w:type="dxa"/>
          </w:tblCellMar>
        </w:tblPrEx>
        <w:trPr>
          <w:trHeight w:val="270" w:hRule="atLeast"/>
        </w:trPr>
        <w:tc>
          <w:tcPr>
            <w:tcW w:w="62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shd w:val="clear"/>
              <w:kinsoku/>
              <w:wordWrap/>
              <w:overflowPunct/>
              <w:topLinePunct w:val="0"/>
              <w:autoSpaceDE/>
              <w:autoSpaceDN/>
              <w:bidi w:val="0"/>
              <w:adjustRightInd/>
              <w:spacing w:line="360" w:lineRule="auto"/>
              <w:ind w:left="0" w:leftChars="0"/>
              <w:jc w:val="center"/>
              <w:textAlignment w:val="center"/>
              <w:rPr>
                <w:rFonts w:hint="eastAsia" w:ascii="仿宋" w:hAnsi="仿宋" w:eastAsia="仿宋" w:cs="仿宋"/>
                <w:i w:val="0"/>
                <w:color w:val="000000"/>
                <w:sz w:val="21"/>
                <w:szCs w:val="21"/>
                <w:highlight w:val="none"/>
                <w:u w:val="none"/>
              </w:rPr>
            </w:pPr>
            <w:r>
              <w:rPr>
                <w:rFonts w:hint="eastAsia" w:ascii="仿宋" w:hAnsi="仿宋" w:eastAsia="仿宋" w:cs="仿宋"/>
                <w:i w:val="0"/>
                <w:color w:val="000000"/>
                <w:kern w:val="0"/>
                <w:sz w:val="21"/>
                <w:szCs w:val="21"/>
                <w:highlight w:val="none"/>
                <w:u w:val="none"/>
                <w:lang w:val="en-US" w:eastAsia="zh-CN" w:bidi="ar"/>
              </w:rPr>
              <w:t>2</w:t>
            </w:r>
          </w:p>
        </w:tc>
        <w:tc>
          <w:tcPr>
            <w:tcW w:w="140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shd w:val="clear"/>
              <w:kinsoku/>
              <w:wordWrap/>
              <w:overflowPunct/>
              <w:topLinePunct w:val="0"/>
              <w:autoSpaceDE/>
              <w:autoSpaceDN/>
              <w:bidi w:val="0"/>
              <w:adjustRightInd/>
              <w:spacing w:line="360" w:lineRule="auto"/>
              <w:ind w:left="0" w:leftChars="0"/>
              <w:jc w:val="center"/>
              <w:textAlignment w:val="center"/>
              <w:rPr>
                <w:rFonts w:hint="eastAsia" w:ascii="仿宋" w:hAnsi="仿宋" w:eastAsia="仿宋" w:cs="仿宋"/>
                <w:i w:val="0"/>
                <w:color w:val="000000"/>
                <w:sz w:val="21"/>
                <w:szCs w:val="21"/>
                <w:highlight w:val="none"/>
                <w:u w:val="none"/>
              </w:rPr>
            </w:pPr>
            <w:r>
              <w:rPr>
                <w:rFonts w:hint="eastAsia" w:ascii="仿宋" w:hAnsi="仿宋" w:eastAsia="仿宋" w:cs="仿宋"/>
                <w:i w:val="0"/>
                <w:color w:val="000000"/>
                <w:kern w:val="0"/>
                <w:sz w:val="21"/>
                <w:szCs w:val="21"/>
                <w:highlight w:val="none"/>
                <w:u w:val="none"/>
                <w:lang w:val="en-US" w:eastAsia="zh-CN" w:bidi="ar"/>
              </w:rPr>
              <w:t>建筑工程款</w:t>
            </w:r>
          </w:p>
        </w:tc>
        <w:tc>
          <w:tcPr>
            <w:tcW w:w="117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shd w:val="clear"/>
              <w:kinsoku/>
              <w:wordWrap/>
              <w:overflowPunct/>
              <w:topLinePunct w:val="0"/>
              <w:autoSpaceDE/>
              <w:autoSpaceDN/>
              <w:bidi w:val="0"/>
              <w:adjustRightInd/>
              <w:spacing w:line="360" w:lineRule="auto"/>
              <w:ind w:left="0" w:leftChars="0"/>
              <w:jc w:val="center"/>
              <w:textAlignment w:val="center"/>
              <w:rPr>
                <w:rFonts w:hint="eastAsia" w:ascii="仿宋" w:hAnsi="仿宋" w:eastAsia="仿宋" w:cs="仿宋"/>
                <w:i w:val="0"/>
                <w:color w:val="000000"/>
                <w:sz w:val="21"/>
                <w:szCs w:val="21"/>
                <w:highlight w:val="none"/>
                <w:u w:val="none"/>
                <w:lang w:val="en-US" w:eastAsia="zh-CN"/>
              </w:rPr>
            </w:pPr>
            <w:r>
              <w:rPr>
                <w:rFonts w:hint="eastAsia" w:ascii="仿宋" w:hAnsi="仿宋" w:eastAsia="仿宋" w:cs="仿宋"/>
                <w:i w:val="0"/>
                <w:color w:val="000000"/>
                <w:sz w:val="21"/>
                <w:szCs w:val="21"/>
                <w:highlight w:val="none"/>
                <w:u w:val="none"/>
                <w:lang w:val="en-US" w:eastAsia="zh-CN"/>
              </w:rPr>
              <w:t>26816.44</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shd w:val="clear"/>
              <w:kinsoku/>
              <w:wordWrap/>
              <w:overflowPunct/>
              <w:topLinePunct w:val="0"/>
              <w:autoSpaceDE/>
              <w:autoSpaceDN/>
              <w:bidi w:val="0"/>
              <w:adjustRightInd/>
              <w:spacing w:line="360" w:lineRule="auto"/>
              <w:ind w:left="0" w:leftChars="0"/>
              <w:jc w:val="center"/>
              <w:textAlignment w:val="center"/>
              <w:rPr>
                <w:rFonts w:hint="eastAsia" w:ascii="仿宋" w:hAnsi="仿宋" w:eastAsia="仿宋" w:cs="仿宋"/>
                <w:i w:val="0"/>
                <w:color w:val="000000"/>
                <w:sz w:val="21"/>
                <w:szCs w:val="21"/>
                <w:highlight w:val="none"/>
                <w:u w:val="none"/>
                <w:lang w:val="en-US" w:eastAsia="zh-CN"/>
              </w:rPr>
            </w:pPr>
            <w:r>
              <w:rPr>
                <w:rFonts w:hint="eastAsia" w:ascii="仿宋" w:hAnsi="仿宋" w:eastAsia="仿宋" w:cs="仿宋"/>
                <w:i w:val="0"/>
                <w:color w:val="000000"/>
                <w:sz w:val="21"/>
                <w:szCs w:val="21"/>
                <w:highlight w:val="none"/>
                <w:u w:val="none"/>
                <w:lang w:val="en-US" w:eastAsia="zh-CN"/>
              </w:rPr>
              <w:t>32555.68</w:t>
            </w:r>
          </w:p>
        </w:tc>
        <w:tc>
          <w:tcPr>
            <w:tcW w:w="16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shd w:val="clear"/>
              <w:kinsoku/>
              <w:wordWrap/>
              <w:overflowPunct/>
              <w:topLinePunct w:val="0"/>
              <w:autoSpaceDE/>
              <w:autoSpaceDN/>
              <w:bidi w:val="0"/>
              <w:adjustRightInd/>
              <w:spacing w:line="360" w:lineRule="auto"/>
              <w:jc w:val="center"/>
              <w:textAlignment w:val="center"/>
              <w:rPr>
                <w:rFonts w:hint="eastAsia" w:ascii="仿宋" w:hAnsi="仿宋" w:eastAsia="仿宋" w:cs="仿宋"/>
                <w:i w:val="0"/>
                <w:color w:val="000000"/>
                <w:sz w:val="21"/>
                <w:szCs w:val="21"/>
                <w:highlight w:val="none"/>
                <w:u w:val="none"/>
                <w:lang w:val="en-US" w:eastAsia="zh-CN"/>
              </w:rPr>
            </w:pPr>
            <w:r>
              <w:rPr>
                <w:rFonts w:hint="eastAsia" w:ascii="仿宋" w:hAnsi="仿宋" w:eastAsia="仿宋" w:cs="仿宋"/>
                <w:i w:val="0"/>
                <w:iCs w:val="0"/>
                <w:color w:val="000000"/>
                <w:kern w:val="0"/>
                <w:sz w:val="21"/>
                <w:szCs w:val="21"/>
                <w:highlight w:val="none"/>
                <w:u w:val="none"/>
                <w:lang w:val="en-US" w:eastAsia="zh-CN" w:bidi="ar"/>
              </w:rPr>
              <w:t>5739.24</w:t>
            </w:r>
          </w:p>
        </w:tc>
        <w:tc>
          <w:tcPr>
            <w:tcW w:w="24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shd w:val="clear"/>
              <w:kinsoku/>
              <w:wordWrap/>
              <w:overflowPunct/>
              <w:topLinePunct w:val="0"/>
              <w:autoSpaceDE/>
              <w:autoSpaceDN/>
              <w:bidi w:val="0"/>
              <w:adjustRightInd/>
              <w:spacing w:line="360" w:lineRule="auto"/>
              <w:ind w:left="0" w:leftChars="0"/>
              <w:jc w:val="center"/>
              <w:textAlignment w:val="center"/>
              <w:rPr>
                <w:rFonts w:hint="eastAsia" w:ascii="仿宋" w:hAnsi="仿宋" w:eastAsia="仿宋" w:cs="仿宋"/>
                <w:i w:val="0"/>
                <w:color w:val="000000"/>
                <w:kern w:val="0"/>
                <w:sz w:val="21"/>
                <w:szCs w:val="21"/>
                <w:highlight w:val="none"/>
                <w:u w:val="none"/>
                <w:lang w:val="en-US" w:eastAsia="zh-CN" w:bidi="ar"/>
              </w:rPr>
            </w:pPr>
            <w:r>
              <w:rPr>
                <w:rFonts w:hint="eastAsia" w:ascii="仿宋" w:hAnsi="仿宋" w:eastAsia="仿宋" w:cs="仿宋"/>
                <w:sz w:val="21"/>
                <w:szCs w:val="21"/>
                <w:highlight w:val="none"/>
                <w:lang w:val="en-US" w:eastAsia="zh-CN"/>
              </w:rPr>
              <w:t>邵阳公路桥梁建设有限责任公司</w:t>
            </w:r>
          </w:p>
        </w:tc>
        <w:tc>
          <w:tcPr>
            <w:tcW w:w="21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shd w:val="clear"/>
              <w:kinsoku/>
              <w:wordWrap/>
              <w:overflowPunct/>
              <w:topLinePunct w:val="0"/>
              <w:autoSpaceDE/>
              <w:autoSpaceDN/>
              <w:bidi w:val="0"/>
              <w:adjustRightInd/>
              <w:spacing w:line="360" w:lineRule="auto"/>
              <w:ind w:left="0" w:leftChars="0"/>
              <w:jc w:val="both"/>
              <w:textAlignment w:val="center"/>
              <w:rPr>
                <w:rFonts w:hint="eastAsia" w:ascii="仿宋" w:hAnsi="仿宋" w:eastAsia="仿宋" w:cs="仿宋"/>
                <w:i w:val="0"/>
                <w:color w:val="000000"/>
                <w:kern w:val="0"/>
                <w:sz w:val="21"/>
                <w:szCs w:val="21"/>
                <w:highlight w:val="none"/>
                <w:u w:val="none"/>
                <w:lang w:val="en-US" w:eastAsia="zh-CN" w:bidi="ar"/>
              </w:rPr>
            </w:pPr>
            <w:r>
              <w:rPr>
                <w:rFonts w:hint="eastAsia" w:ascii="仿宋" w:hAnsi="仿宋" w:eastAsia="仿宋" w:cs="仿宋"/>
                <w:i w:val="0"/>
                <w:color w:val="000000"/>
                <w:kern w:val="0"/>
                <w:sz w:val="21"/>
                <w:szCs w:val="21"/>
                <w:highlight w:val="none"/>
                <w:u w:val="none"/>
                <w:lang w:val="en-US" w:eastAsia="zh-CN" w:bidi="ar"/>
              </w:rPr>
              <w:t>财评送审金额约37000万元，大于合同金额</w:t>
            </w:r>
          </w:p>
        </w:tc>
      </w:tr>
      <w:tr>
        <w:tblPrEx>
          <w:shd w:val="clear" w:color="auto" w:fill="auto"/>
          <w:tblCellMar>
            <w:top w:w="0" w:type="dxa"/>
            <w:left w:w="0" w:type="dxa"/>
            <w:bottom w:w="0" w:type="dxa"/>
            <w:right w:w="0" w:type="dxa"/>
          </w:tblCellMar>
        </w:tblPrEx>
        <w:trPr>
          <w:trHeight w:val="270" w:hRule="atLeast"/>
        </w:trPr>
        <w:tc>
          <w:tcPr>
            <w:tcW w:w="62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shd w:val="clear"/>
              <w:kinsoku/>
              <w:wordWrap/>
              <w:overflowPunct/>
              <w:topLinePunct w:val="0"/>
              <w:autoSpaceDE/>
              <w:autoSpaceDN/>
              <w:bidi w:val="0"/>
              <w:adjustRightInd/>
              <w:spacing w:line="360" w:lineRule="auto"/>
              <w:ind w:left="0" w:leftChars="0"/>
              <w:jc w:val="center"/>
              <w:textAlignment w:val="center"/>
              <w:rPr>
                <w:rFonts w:hint="eastAsia" w:ascii="仿宋" w:hAnsi="仿宋" w:eastAsia="仿宋" w:cs="仿宋"/>
                <w:i w:val="0"/>
                <w:color w:val="000000"/>
                <w:sz w:val="21"/>
                <w:szCs w:val="21"/>
                <w:highlight w:val="none"/>
                <w:u w:val="none"/>
              </w:rPr>
            </w:pPr>
            <w:r>
              <w:rPr>
                <w:rFonts w:hint="eastAsia" w:ascii="仿宋" w:hAnsi="仿宋" w:eastAsia="仿宋" w:cs="仿宋"/>
                <w:i w:val="0"/>
                <w:color w:val="000000"/>
                <w:kern w:val="0"/>
                <w:sz w:val="21"/>
                <w:szCs w:val="21"/>
                <w:highlight w:val="none"/>
                <w:u w:val="none"/>
                <w:lang w:val="en-US" w:eastAsia="zh-CN" w:bidi="ar"/>
              </w:rPr>
              <w:t>3</w:t>
            </w:r>
          </w:p>
        </w:tc>
        <w:tc>
          <w:tcPr>
            <w:tcW w:w="140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shd w:val="clear"/>
              <w:kinsoku/>
              <w:wordWrap/>
              <w:overflowPunct/>
              <w:topLinePunct w:val="0"/>
              <w:autoSpaceDE/>
              <w:autoSpaceDN/>
              <w:bidi w:val="0"/>
              <w:adjustRightInd/>
              <w:spacing w:line="360" w:lineRule="auto"/>
              <w:ind w:left="0" w:leftChars="0"/>
              <w:jc w:val="center"/>
              <w:textAlignment w:val="center"/>
              <w:rPr>
                <w:rFonts w:hint="eastAsia" w:ascii="仿宋" w:hAnsi="仿宋" w:eastAsia="仿宋" w:cs="仿宋"/>
                <w:i w:val="0"/>
                <w:color w:val="000000"/>
                <w:sz w:val="21"/>
                <w:szCs w:val="21"/>
                <w:highlight w:val="none"/>
                <w:u w:val="none"/>
              </w:rPr>
            </w:pPr>
            <w:r>
              <w:rPr>
                <w:rFonts w:hint="eastAsia" w:ascii="仿宋" w:hAnsi="仿宋" w:eastAsia="仿宋" w:cs="仿宋"/>
                <w:i w:val="0"/>
                <w:color w:val="000000"/>
                <w:kern w:val="0"/>
                <w:sz w:val="21"/>
                <w:szCs w:val="21"/>
                <w:highlight w:val="none"/>
                <w:u w:val="none"/>
                <w:lang w:val="en-US" w:eastAsia="zh-CN" w:bidi="ar"/>
              </w:rPr>
              <w:t>配电工程款</w:t>
            </w:r>
          </w:p>
        </w:tc>
        <w:tc>
          <w:tcPr>
            <w:tcW w:w="117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shd w:val="clear"/>
              <w:kinsoku/>
              <w:wordWrap/>
              <w:overflowPunct/>
              <w:topLinePunct w:val="0"/>
              <w:autoSpaceDE/>
              <w:autoSpaceDN/>
              <w:bidi w:val="0"/>
              <w:adjustRightInd/>
              <w:spacing w:line="360" w:lineRule="auto"/>
              <w:ind w:left="0" w:leftChars="0"/>
              <w:jc w:val="center"/>
              <w:textAlignment w:val="center"/>
              <w:rPr>
                <w:rFonts w:hint="eastAsia" w:ascii="仿宋" w:hAnsi="仿宋" w:eastAsia="仿宋" w:cs="仿宋"/>
                <w:i w:val="0"/>
                <w:color w:val="000000"/>
                <w:sz w:val="21"/>
                <w:szCs w:val="21"/>
                <w:highlight w:val="none"/>
                <w:u w:val="none"/>
                <w:lang w:val="en-US" w:eastAsia="zh-CN"/>
              </w:rPr>
            </w:pPr>
            <w:r>
              <w:rPr>
                <w:rFonts w:hint="eastAsia" w:ascii="仿宋" w:hAnsi="仿宋" w:eastAsia="仿宋" w:cs="仿宋"/>
                <w:i w:val="0"/>
                <w:color w:val="000000"/>
                <w:sz w:val="21"/>
                <w:szCs w:val="21"/>
                <w:highlight w:val="none"/>
                <w:u w:val="none"/>
                <w:lang w:val="en-US" w:eastAsia="zh-CN"/>
              </w:rPr>
              <w:t>217.41</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shd w:val="clear"/>
              <w:kinsoku/>
              <w:wordWrap/>
              <w:overflowPunct/>
              <w:topLinePunct w:val="0"/>
              <w:autoSpaceDE/>
              <w:autoSpaceDN/>
              <w:bidi w:val="0"/>
              <w:adjustRightInd/>
              <w:spacing w:line="360" w:lineRule="auto"/>
              <w:ind w:left="0" w:leftChars="0"/>
              <w:jc w:val="center"/>
              <w:textAlignment w:val="center"/>
              <w:rPr>
                <w:rFonts w:hint="eastAsia" w:ascii="仿宋" w:hAnsi="仿宋" w:eastAsia="仿宋" w:cs="仿宋"/>
                <w:i w:val="0"/>
                <w:color w:val="000000"/>
                <w:sz w:val="21"/>
                <w:szCs w:val="21"/>
                <w:highlight w:val="none"/>
                <w:u w:val="none"/>
                <w:lang w:val="en-US" w:eastAsia="zh-CN"/>
              </w:rPr>
            </w:pPr>
            <w:r>
              <w:rPr>
                <w:rFonts w:hint="eastAsia" w:ascii="仿宋" w:hAnsi="仿宋" w:eastAsia="仿宋" w:cs="仿宋"/>
                <w:i w:val="0"/>
                <w:color w:val="000000"/>
                <w:sz w:val="21"/>
                <w:szCs w:val="21"/>
                <w:highlight w:val="none"/>
                <w:u w:val="none"/>
                <w:lang w:val="en-US" w:eastAsia="zh-CN"/>
              </w:rPr>
              <w:t>437.40</w:t>
            </w:r>
          </w:p>
        </w:tc>
        <w:tc>
          <w:tcPr>
            <w:tcW w:w="16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shd w:val="clear"/>
              <w:kinsoku/>
              <w:wordWrap/>
              <w:overflowPunct/>
              <w:topLinePunct w:val="0"/>
              <w:autoSpaceDE/>
              <w:autoSpaceDN/>
              <w:bidi w:val="0"/>
              <w:adjustRightInd/>
              <w:spacing w:line="360" w:lineRule="auto"/>
              <w:jc w:val="center"/>
              <w:textAlignment w:val="center"/>
              <w:rPr>
                <w:rFonts w:hint="eastAsia" w:ascii="仿宋" w:hAnsi="仿宋" w:eastAsia="仿宋" w:cs="仿宋"/>
                <w:i w:val="0"/>
                <w:color w:val="000000"/>
                <w:sz w:val="21"/>
                <w:szCs w:val="21"/>
                <w:highlight w:val="none"/>
                <w:u w:val="none"/>
                <w:lang w:val="en-US" w:eastAsia="zh-CN"/>
              </w:rPr>
            </w:pPr>
            <w:r>
              <w:rPr>
                <w:rFonts w:hint="eastAsia" w:ascii="仿宋" w:hAnsi="仿宋" w:eastAsia="仿宋" w:cs="仿宋"/>
                <w:i w:val="0"/>
                <w:iCs w:val="0"/>
                <w:color w:val="000000"/>
                <w:kern w:val="0"/>
                <w:sz w:val="21"/>
                <w:szCs w:val="21"/>
                <w:highlight w:val="none"/>
                <w:u w:val="none"/>
                <w:lang w:val="en-US" w:eastAsia="zh-CN" w:bidi="ar"/>
              </w:rPr>
              <w:t>219.99</w:t>
            </w:r>
          </w:p>
        </w:tc>
        <w:tc>
          <w:tcPr>
            <w:tcW w:w="24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shd w:val="clear"/>
              <w:kinsoku/>
              <w:wordWrap/>
              <w:overflowPunct/>
              <w:topLinePunct w:val="0"/>
              <w:autoSpaceDE/>
              <w:autoSpaceDN/>
              <w:bidi w:val="0"/>
              <w:adjustRightInd/>
              <w:spacing w:line="360" w:lineRule="auto"/>
              <w:ind w:left="0" w:leftChars="0"/>
              <w:jc w:val="center"/>
              <w:textAlignment w:val="center"/>
              <w:rPr>
                <w:rFonts w:hint="eastAsia" w:ascii="仿宋" w:hAnsi="仿宋" w:eastAsia="仿宋" w:cs="仿宋"/>
                <w:i w:val="0"/>
                <w:color w:val="000000"/>
                <w:kern w:val="0"/>
                <w:sz w:val="21"/>
                <w:szCs w:val="21"/>
                <w:highlight w:val="none"/>
                <w:u w:val="none"/>
                <w:lang w:val="en-US" w:eastAsia="zh-CN" w:bidi="ar"/>
              </w:rPr>
            </w:pPr>
            <w:r>
              <w:rPr>
                <w:rFonts w:hint="eastAsia" w:ascii="仿宋" w:hAnsi="仿宋" w:eastAsia="仿宋" w:cs="仿宋"/>
                <w:sz w:val="21"/>
                <w:szCs w:val="21"/>
                <w:highlight w:val="none"/>
                <w:lang w:val="en-US" w:eastAsia="zh-CN"/>
              </w:rPr>
              <w:t>湖南科立电力建设有限公司</w:t>
            </w:r>
          </w:p>
        </w:tc>
        <w:tc>
          <w:tcPr>
            <w:tcW w:w="21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shd w:val="clear"/>
              <w:kinsoku/>
              <w:wordWrap/>
              <w:overflowPunct/>
              <w:topLinePunct w:val="0"/>
              <w:autoSpaceDE/>
              <w:autoSpaceDN/>
              <w:bidi w:val="0"/>
              <w:adjustRightInd/>
              <w:spacing w:line="360" w:lineRule="auto"/>
              <w:ind w:left="0" w:leftChars="0"/>
              <w:jc w:val="center"/>
              <w:textAlignment w:val="center"/>
              <w:rPr>
                <w:rFonts w:hint="eastAsia" w:ascii="仿宋" w:hAnsi="仿宋" w:eastAsia="仿宋" w:cs="仿宋"/>
                <w:i w:val="0"/>
                <w:color w:val="000000"/>
                <w:kern w:val="0"/>
                <w:sz w:val="21"/>
                <w:szCs w:val="21"/>
                <w:highlight w:val="none"/>
                <w:u w:val="none"/>
                <w:lang w:val="en-US" w:eastAsia="zh-CN" w:bidi="ar"/>
              </w:rPr>
            </w:pPr>
          </w:p>
        </w:tc>
      </w:tr>
      <w:tr>
        <w:tblPrEx>
          <w:tblCellMar>
            <w:top w:w="0" w:type="dxa"/>
            <w:left w:w="0" w:type="dxa"/>
            <w:bottom w:w="0" w:type="dxa"/>
            <w:right w:w="0" w:type="dxa"/>
          </w:tblCellMar>
        </w:tblPrEx>
        <w:trPr>
          <w:trHeight w:val="270" w:hRule="atLeast"/>
        </w:trPr>
        <w:tc>
          <w:tcPr>
            <w:tcW w:w="62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shd w:val="clear"/>
              <w:kinsoku/>
              <w:wordWrap/>
              <w:overflowPunct/>
              <w:topLinePunct w:val="0"/>
              <w:autoSpaceDE/>
              <w:autoSpaceDN/>
              <w:bidi w:val="0"/>
              <w:adjustRightInd/>
              <w:spacing w:line="360" w:lineRule="auto"/>
              <w:ind w:left="0" w:leftChars="0"/>
              <w:jc w:val="center"/>
              <w:textAlignment w:val="center"/>
              <w:rPr>
                <w:rFonts w:hint="eastAsia" w:ascii="仿宋" w:hAnsi="仿宋" w:eastAsia="仿宋" w:cs="仿宋"/>
                <w:i w:val="0"/>
                <w:color w:val="000000"/>
                <w:sz w:val="21"/>
                <w:szCs w:val="21"/>
                <w:highlight w:val="none"/>
                <w:u w:val="none"/>
              </w:rPr>
            </w:pPr>
            <w:r>
              <w:rPr>
                <w:rFonts w:hint="eastAsia" w:ascii="仿宋" w:hAnsi="仿宋" w:eastAsia="仿宋" w:cs="仿宋"/>
                <w:i w:val="0"/>
                <w:color w:val="000000"/>
                <w:kern w:val="0"/>
                <w:sz w:val="21"/>
                <w:szCs w:val="21"/>
                <w:highlight w:val="none"/>
                <w:u w:val="none"/>
                <w:lang w:val="en-US" w:eastAsia="zh-CN" w:bidi="ar"/>
              </w:rPr>
              <w:t>4</w:t>
            </w:r>
          </w:p>
        </w:tc>
        <w:tc>
          <w:tcPr>
            <w:tcW w:w="140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shd w:val="clear"/>
              <w:kinsoku/>
              <w:wordWrap/>
              <w:overflowPunct/>
              <w:topLinePunct w:val="0"/>
              <w:autoSpaceDE/>
              <w:autoSpaceDN/>
              <w:bidi w:val="0"/>
              <w:adjustRightInd/>
              <w:spacing w:line="360" w:lineRule="auto"/>
              <w:ind w:left="0" w:leftChars="0"/>
              <w:jc w:val="center"/>
              <w:textAlignment w:val="center"/>
              <w:rPr>
                <w:rFonts w:hint="eastAsia" w:ascii="仿宋" w:hAnsi="仿宋" w:eastAsia="仿宋" w:cs="仿宋"/>
                <w:i w:val="0"/>
                <w:color w:val="000000"/>
                <w:sz w:val="21"/>
                <w:szCs w:val="21"/>
                <w:highlight w:val="none"/>
                <w:u w:val="none"/>
                <w:lang w:eastAsia="zh-CN"/>
              </w:rPr>
            </w:pPr>
            <w:r>
              <w:rPr>
                <w:rFonts w:hint="eastAsia" w:ascii="仿宋" w:hAnsi="仿宋" w:eastAsia="仿宋" w:cs="仿宋"/>
                <w:i w:val="0"/>
                <w:color w:val="000000"/>
                <w:sz w:val="21"/>
                <w:szCs w:val="21"/>
                <w:highlight w:val="none"/>
                <w:u w:val="none"/>
                <w:lang w:eastAsia="zh-CN"/>
              </w:rPr>
              <w:t>监理费</w:t>
            </w:r>
          </w:p>
        </w:tc>
        <w:tc>
          <w:tcPr>
            <w:tcW w:w="117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shd w:val="clear"/>
              <w:kinsoku/>
              <w:wordWrap/>
              <w:overflowPunct/>
              <w:topLinePunct w:val="0"/>
              <w:autoSpaceDE/>
              <w:autoSpaceDN/>
              <w:bidi w:val="0"/>
              <w:adjustRightInd/>
              <w:spacing w:line="360" w:lineRule="auto"/>
              <w:ind w:left="0" w:leftChars="0"/>
              <w:jc w:val="center"/>
              <w:textAlignment w:val="center"/>
              <w:rPr>
                <w:rFonts w:hint="eastAsia" w:ascii="仿宋" w:hAnsi="仿宋" w:eastAsia="仿宋" w:cs="仿宋"/>
                <w:i w:val="0"/>
                <w:color w:val="000000"/>
                <w:sz w:val="21"/>
                <w:szCs w:val="21"/>
                <w:highlight w:val="none"/>
                <w:u w:val="none"/>
                <w:lang w:val="en-US" w:eastAsia="zh-CN"/>
              </w:rPr>
            </w:pPr>
            <w:r>
              <w:rPr>
                <w:rFonts w:hint="eastAsia" w:ascii="仿宋" w:hAnsi="仿宋" w:eastAsia="仿宋" w:cs="仿宋"/>
                <w:i w:val="0"/>
                <w:color w:val="000000"/>
                <w:sz w:val="21"/>
                <w:szCs w:val="21"/>
                <w:highlight w:val="none"/>
                <w:u w:val="none"/>
                <w:lang w:val="en-US" w:eastAsia="zh-CN"/>
              </w:rPr>
              <w:t>50.7</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shd w:val="clear"/>
              <w:kinsoku/>
              <w:wordWrap/>
              <w:overflowPunct/>
              <w:topLinePunct w:val="0"/>
              <w:autoSpaceDE/>
              <w:autoSpaceDN/>
              <w:bidi w:val="0"/>
              <w:adjustRightInd/>
              <w:spacing w:line="360" w:lineRule="auto"/>
              <w:ind w:left="0" w:leftChars="0"/>
              <w:jc w:val="center"/>
              <w:textAlignment w:val="center"/>
              <w:rPr>
                <w:rFonts w:hint="eastAsia" w:ascii="仿宋" w:hAnsi="仿宋" w:eastAsia="仿宋" w:cs="仿宋"/>
                <w:i w:val="0"/>
                <w:color w:val="000000"/>
                <w:sz w:val="21"/>
                <w:szCs w:val="21"/>
                <w:highlight w:val="none"/>
                <w:u w:val="none"/>
                <w:lang w:val="en-US" w:eastAsia="zh-CN"/>
              </w:rPr>
            </w:pPr>
            <w:r>
              <w:rPr>
                <w:rFonts w:hint="eastAsia" w:ascii="仿宋" w:hAnsi="仿宋" w:eastAsia="仿宋" w:cs="仿宋"/>
                <w:i w:val="0"/>
                <w:color w:val="000000"/>
                <w:sz w:val="21"/>
                <w:szCs w:val="21"/>
                <w:highlight w:val="none"/>
                <w:u w:val="none"/>
                <w:lang w:val="en-US" w:eastAsia="zh-CN"/>
              </w:rPr>
              <w:t>67.70</w:t>
            </w:r>
          </w:p>
        </w:tc>
        <w:tc>
          <w:tcPr>
            <w:tcW w:w="16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shd w:val="clear"/>
              <w:kinsoku/>
              <w:wordWrap/>
              <w:overflowPunct/>
              <w:topLinePunct w:val="0"/>
              <w:autoSpaceDE/>
              <w:autoSpaceDN/>
              <w:bidi w:val="0"/>
              <w:adjustRightInd/>
              <w:spacing w:line="360" w:lineRule="auto"/>
              <w:jc w:val="center"/>
              <w:textAlignment w:val="center"/>
              <w:rPr>
                <w:rFonts w:hint="eastAsia" w:ascii="仿宋" w:hAnsi="仿宋" w:eastAsia="仿宋" w:cs="仿宋"/>
                <w:i w:val="0"/>
                <w:color w:val="000000"/>
                <w:sz w:val="21"/>
                <w:szCs w:val="21"/>
                <w:highlight w:val="none"/>
                <w:u w:val="none"/>
                <w:lang w:val="en-US" w:eastAsia="zh-CN"/>
              </w:rPr>
            </w:pPr>
            <w:r>
              <w:rPr>
                <w:rFonts w:hint="eastAsia" w:ascii="仿宋" w:hAnsi="仿宋" w:eastAsia="仿宋" w:cs="仿宋"/>
                <w:i w:val="0"/>
                <w:iCs w:val="0"/>
                <w:color w:val="000000"/>
                <w:kern w:val="0"/>
                <w:sz w:val="21"/>
                <w:szCs w:val="21"/>
                <w:highlight w:val="none"/>
                <w:u w:val="none"/>
                <w:lang w:val="en-US" w:eastAsia="zh-CN" w:bidi="ar"/>
              </w:rPr>
              <w:t>17</w:t>
            </w:r>
          </w:p>
        </w:tc>
        <w:tc>
          <w:tcPr>
            <w:tcW w:w="24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shd w:val="clear"/>
              <w:kinsoku/>
              <w:wordWrap/>
              <w:overflowPunct/>
              <w:topLinePunct w:val="0"/>
              <w:autoSpaceDE/>
              <w:autoSpaceDN/>
              <w:bidi w:val="0"/>
              <w:adjustRightInd/>
              <w:spacing w:line="360" w:lineRule="auto"/>
              <w:ind w:left="0" w:leftChars="0"/>
              <w:jc w:val="center"/>
              <w:textAlignment w:val="center"/>
              <w:rPr>
                <w:rFonts w:hint="eastAsia" w:ascii="仿宋" w:hAnsi="仿宋" w:eastAsia="仿宋" w:cs="仿宋"/>
                <w:i w:val="0"/>
                <w:color w:val="000000"/>
                <w:kern w:val="0"/>
                <w:sz w:val="21"/>
                <w:szCs w:val="21"/>
                <w:highlight w:val="none"/>
                <w:u w:val="none"/>
                <w:lang w:val="en-US" w:eastAsia="zh-CN" w:bidi="ar"/>
              </w:rPr>
            </w:pPr>
            <w:r>
              <w:rPr>
                <w:rFonts w:hint="eastAsia" w:ascii="仿宋" w:hAnsi="仿宋" w:eastAsia="仿宋" w:cs="仿宋"/>
                <w:sz w:val="21"/>
                <w:szCs w:val="21"/>
                <w:highlight w:val="none"/>
                <w:lang w:val="en-US" w:eastAsia="zh-CN"/>
              </w:rPr>
              <w:t>湖南恒实项目管理有限公司</w:t>
            </w:r>
          </w:p>
        </w:tc>
        <w:tc>
          <w:tcPr>
            <w:tcW w:w="21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shd w:val="clear"/>
              <w:kinsoku/>
              <w:wordWrap/>
              <w:overflowPunct/>
              <w:topLinePunct w:val="0"/>
              <w:autoSpaceDE/>
              <w:autoSpaceDN/>
              <w:bidi w:val="0"/>
              <w:adjustRightInd/>
              <w:spacing w:line="360" w:lineRule="auto"/>
              <w:ind w:left="0" w:leftChars="0"/>
              <w:jc w:val="center"/>
              <w:textAlignment w:val="center"/>
              <w:rPr>
                <w:rFonts w:hint="eastAsia" w:ascii="仿宋" w:hAnsi="仿宋" w:eastAsia="仿宋" w:cs="仿宋"/>
                <w:i w:val="0"/>
                <w:color w:val="000000"/>
                <w:kern w:val="0"/>
                <w:sz w:val="21"/>
                <w:szCs w:val="21"/>
                <w:highlight w:val="none"/>
                <w:u w:val="none"/>
                <w:lang w:val="en-US" w:eastAsia="zh-CN" w:bidi="ar"/>
              </w:rPr>
            </w:pPr>
            <w:r>
              <w:rPr>
                <w:rFonts w:hint="eastAsia" w:ascii="仿宋" w:hAnsi="仿宋" w:eastAsia="仿宋" w:cs="仿宋"/>
                <w:i w:val="0"/>
                <w:color w:val="000000"/>
                <w:kern w:val="0"/>
                <w:sz w:val="21"/>
                <w:szCs w:val="21"/>
                <w:highlight w:val="none"/>
                <w:u w:val="none"/>
                <w:lang w:val="en-US" w:eastAsia="zh-CN" w:bidi="ar"/>
              </w:rPr>
              <w:t>二标监理费</w:t>
            </w:r>
          </w:p>
        </w:tc>
      </w:tr>
      <w:tr>
        <w:tblPrEx>
          <w:shd w:val="clear" w:color="auto" w:fill="auto"/>
          <w:tblCellMar>
            <w:top w:w="0" w:type="dxa"/>
            <w:left w:w="0" w:type="dxa"/>
            <w:bottom w:w="0" w:type="dxa"/>
            <w:right w:w="0" w:type="dxa"/>
          </w:tblCellMar>
        </w:tblPrEx>
        <w:trPr>
          <w:trHeight w:val="510" w:hRule="atLeast"/>
        </w:trPr>
        <w:tc>
          <w:tcPr>
            <w:tcW w:w="62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shd w:val="clear"/>
              <w:kinsoku/>
              <w:wordWrap/>
              <w:overflowPunct/>
              <w:topLinePunct w:val="0"/>
              <w:autoSpaceDE/>
              <w:autoSpaceDN/>
              <w:bidi w:val="0"/>
              <w:adjustRightInd/>
              <w:spacing w:line="360" w:lineRule="auto"/>
              <w:ind w:left="0" w:leftChars="0"/>
              <w:jc w:val="center"/>
              <w:rPr>
                <w:rFonts w:hint="eastAsia" w:ascii="仿宋" w:hAnsi="仿宋" w:eastAsia="仿宋" w:cs="仿宋"/>
                <w:i w:val="0"/>
                <w:color w:val="000000"/>
                <w:sz w:val="21"/>
                <w:szCs w:val="21"/>
                <w:highlight w:val="none"/>
                <w:u w:val="none"/>
                <w:lang w:val="en-US" w:eastAsia="zh-CN"/>
              </w:rPr>
            </w:pPr>
          </w:p>
        </w:tc>
        <w:tc>
          <w:tcPr>
            <w:tcW w:w="140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shd w:val="clear"/>
              <w:kinsoku/>
              <w:wordWrap/>
              <w:overflowPunct/>
              <w:topLinePunct w:val="0"/>
              <w:autoSpaceDE/>
              <w:autoSpaceDN/>
              <w:bidi w:val="0"/>
              <w:adjustRightInd/>
              <w:spacing w:line="360" w:lineRule="auto"/>
              <w:ind w:left="0" w:leftChars="0"/>
              <w:jc w:val="center"/>
              <w:textAlignment w:val="center"/>
              <w:rPr>
                <w:rFonts w:hint="eastAsia" w:ascii="仿宋" w:hAnsi="仿宋" w:eastAsia="仿宋" w:cs="仿宋"/>
                <w:i w:val="0"/>
                <w:color w:val="000000"/>
                <w:kern w:val="0"/>
                <w:sz w:val="21"/>
                <w:szCs w:val="21"/>
                <w:highlight w:val="none"/>
                <w:u w:val="none"/>
                <w:lang w:val="en-US" w:eastAsia="zh-CN" w:bidi="ar"/>
              </w:rPr>
            </w:pPr>
            <w:r>
              <w:rPr>
                <w:rFonts w:hint="eastAsia" w:ascii="仿宋" w:hAnsi="仿宋" w:eastAsia="仿宋" w:cs="仿宋"/>
                <w:i w:val="0"/>
                <w:color w:val="000000"/>
                <w:kern w:val="0"/>
                <w:sz w:val="21"/>
                <w:szCs w:val="21"/>
                <w:highlight w:val="none"/>
                <w:u w:val="none"/>
                <w:lang w:val="en-US" w:eastAsia="zh-CN" w:bidi="ar"/>
              </w:rPr>
              <w:t>合计</w:t>
            </w:r>
          </w:p>
        </w:tc>
        <w:tc>
          <w:tcPr>
            <w:tcW w:w="117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shd w:val="clear"/>
              <w:kinsoku/>
              <w:wordWrap/>
              <w:overflowPunct/>
              <w:topLinePunct w:val="0"/>
              <w:autoSpaceDE/>
              <w:autoSpaceDN/>
              <w:bidi w:val="0"/>
              <w:adjustRightInd/>
              <w:spacing w:line="360" w:lineRule="auto"/>
              <w:ind w:left="0" w:leftChars="0"/>
              <w:jc w:val="center"/>
              <w:textAlignment w:val="center"/>
              <w:rPr>
                <w:rFonts w:hint="eastAsia" w:ascii="仿宋" w:hAnsi="仿宋" w:eastAsia="仿宋" w:cs="仿宋"/>
                <w:i w:val="0"/>
                <w:color w:val="000000"/>
                <w:kern w:val="0"/>
                <w:sz w:val="21"/>
                <w:szCs w:val="21"/>
                <w:highlight w:val="none"/>
                <w:u w:val="none"/>
                <w:lang w:val="en-US" w:eastAsia="zh-CN" w:bidi="ar"/>
              </w:rPr>
            </w:pPr>
            <w:r>
              <w:rPr>
                <w:rFonts w:hint="eastAsia" w:ascii="仿宋" w:hAnsi="仿宋" w:eastAsia="仿宋" w:cs="仿宋"/>
                <w:i w:val="0"/>
                <w:color w:val="000000"/>
                <w:kern w:val="0"/>
                <w:sz w:val="21"/>
                <w:szCs w:val="21"/>
                <w:highlight w:val="none"/>
                <w:u w:val="none"/>
                <w:lang w:val="en-US" w:eastAsia="zh-CN" w:bidi="ar"/>
              </w:rPr>
              <w:t>52083.90</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shd w:val="clear"/>
              <w:kinsoku/>
              <w:wordWrap/>
              <w:overflowPunct/>
              <w:topLinePunct w:val="0"/>
              <w:autoSpaceDE/>
              <w:autoSpaceDN/>
              <w:bidi w:val="0"/>
              <w:adjustRightInd/>
              <w:spacing w:line="360" w:lineRule="auto"/>
              <w:ind w:left="0" w:leftChars="0"/>
              <w:jc w:val="center"/>
              <w:textAlignment w:val="center"/>
              <w:rPr>
                <w:rFonts w:hint="eastAsia" w:ascii="仿宋" w:hAnsi="仿宋" w:eastAsia="仿宋" w:cs="仿宋"/>
                <w:i w:val="0"/>
                <w:color w:val="000000"/>
                <w:sz w:val="21"/>
                <w:szCs w:val="21"/>
                <w:highlight w:val="none"/>
                <w:u w:val="none"/>
                <w:lang w:val="en-US" w:eastAsia="zh-CN"/>
              </w:rPr>
            </w:pPr>
            <w:r>
              <w:rPr>
                <w:rFonts w:hint="eastAsia" w:ascii="仿宋" w:hAnsi="仿宋" w:eastAsia="仿宋" w:cs="仿宋"/>
                <w:i w:val="0"/>
                <w:color w:val="000000"/>
                <w:sz w:val="21"/>
                <w:szCs w:val="21"/>
                <w:highlight w:val="none"/>
                <w:u w:val="none"/>
                <w:lang w:val="en-US" w:eastAsia="zh-CN"/>
              </w:rPr>
              <w:fldChar w:fldCharType="begin"/>
            </w:r>
            <w:r>
              <w:rPr>
                <w:rFonts w:hint="eastAsia" w:ascii="仿宋" w:hAnsi="仿宋" w:eastAsia="仿宋" w:cs="仿宋"/>
                <w:i w:val="0"/>
                <w:color w:val="000000"/>
                <w:sz w:val="21"/>
                <w:szCs w:val="21"/>
                <w:highlight w:val="none"/>
                <w:u w:val="none"/>
                <w:lang w:val="en-US" w:eastAsia="zh-CN"/>
              </w:rPr>
              <w:instrText xml:space="preserve"> = sum(D2:D5) \* MERGEFORMAT </w:instrText>
            </w:r>
            <w:r>
              <w:rPr>
                <w:rFonts w:hint="eastAsia" w:ascii="仿宋" w:hAnsi="仿宋" w:eastAsia="仿宋" w:cs="仿宋"/>
                <w:i w:val="0"/>
                <w:color w:val="000000"/>
                <w:sz w:val="21"/>
                <w:szCs w:val="21"/>
                <w:highlight w:val="none"/>
                <w:u w:val="none"/>
                <w:lang w:val="en-US" w:eastAsia="zh-CN"/>
              </w:rPr>
              <w:fldChar w:fldCharType="separate"/>
            </w:r>
            <w:r>
              <w:rPr>
                <w:rFonts w:hint="eastAsia" w:ascii="仿宋" w:hAnsi="仿宋" w:eastAsia="仿宋" w:cs="仿宋"/>
                <w:i w:val="0"/>
                <w:color w:val="000000"/>
                <w:sz w:val="21"/>
                <w:szCs w:val="21"/>
                <w:highlight w:val="none"/>
                <w:u w:val="none"/>
                <w:lang w:val="en-US" w:eastAsia="zh-CN"/>
              </w:rPr>
              <w:t>58484.21</w:t>
            </w:r>
            <w:r>
              <w:rPr>
                <w:rFonts w:hint="eastAsia" w:ascii="仿宋" w:hAnsi="仿宋" w:eastAsia="仿宋" w:cs="仿宋"/>
                <w:i w:val="0"/>
                <w:color w:val="000000"/>
                <w:sz w:val="21"/>
                <w:szCs w:val="21"/>
                <w:highlight w:val="none"/>
                <w:u w:val="none"/>
                <w:lang w:val="en-US" w:eastAsia="zh-CN"/>
              </w:rPr>
              <w:fldChar w:fldCharType="end"/>
            </w:r>
          </w:p>
        </w:tc>
        <w:tc>
          <w:tcPr>
            <w:tcW w:w="16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shd w:val="clear"/>
              <w:kinsoku/>
              <w:wordWrap/>
              <w:overflowPunct/>
              <w:topLinePunct w:val="0"/>
              <w:autoSpaceDE/>
              <w:autoSpaceDN/>
              <w:bidi w:val="0"/>
              <w:adjustRightInd/>
              <w:spacing w:line="360" w:lineRule="auto"/>
              <w:jc w:val="center"/>
              <w:textAlignment w:val="center"/>
              <w:rPr>
                <w:rFonts w:hint="eastAsia" w:ascii="仿宋" w:hAnsi="仿宋" w:eastAsia="仿宋" w:cs="仿宋"/>
                <w:i w:val="0"/>
                <w:color w:val="000000"/>
                <w:sz w:val="21"/>
                <w:szCs w:val="21"/>
                <w:highlight w:val="none"/>
                <w:u w:val="none"/>
                <w:lang w:val="en-US" w:eastAsia="zh-CN"/>
              </w:rPr>
            </w:pPr>
            <w:r>
              <w:rPr>
                <w:rFonts w:hint="eastAsia" w:ascii="仿宋" w:hAnsi="仿宋" w:eastAsia="仿宋" w:cs="仿宋"/>
                <w:i w:val="0"/>
                <w:iCs w:val="0"/>
                <w:color w:val="000000"/>
                <w:kern w:val="0"/>
                <w:sz w:val="21"/>
                <w:szCs w:val="21"/>
                <w:highlight w:val="none"/>
                <w:u w:val="none"/>
                <w:lang w:val="en-US" w:eastAsia="zh-CN" w:bidi="ar"/>
              </w:rPr>
              <w:t>6400.31</w:t>
            </w:r>
          </w:p>
        </w:tc>
        <w:tc>
          <w:tcPr>
            <w:tcW w:w="24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shd w:val="clear"/>
              <w:kinsoku/>
              <w:wordWrap/>
              <w:overflowPunct/>
              <w:topLinePunct w:val="0"/>
              <w:autoSpaceDE/>
              <w:autoSpaceDN/>
              <w:bidi w:val="0"/>
              <w:adjustRightInd/>
              <w:spacing w:line="360" w:lineRule="auto"/>
              <w:ind w:left="0" w:leftChars="0"/>
              <w:jc w:val="center"/>
              <w:rPr>
                <w:rFonts w:hint="eastAsia" w:ascii="仿宋" w:hAnsi="仿宋" w:eastAsia="仿宋" w:cs="仿宋"/>
                <w:i w:val="0"/>
                <w:color w:val="000000"/>
                <w:sz w:val="21"/>
                <w:szCs w:val="21"/>
                <w:highlight w:val="none"/>
                <w:u w:val="none"/>
              </w:rPr>
            </w:pPr>
          </w:p>
        </w:tc>
        <w:tc>
          <w:tcPr>
            <w:tcW w:w="21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shd w:val="clear"/>
              <w:kinsoku/>
              <w:wordWrap/>
              <w:overflowPunct/>
              <w:topLinePunct w:val="0"/>
              <w:autoSpaceDE/>
              <w:autoSpaceDN/>
              <w:bidi w:val="0"/>
              <w:adjustRightInd/>
              <w:spacing w:line="360" w:lineRule="auto"/>
              <w:ind w:left="0" w:leftChars="0"/>
              <w:jc w:val="center"/>
              <w:rPr>
                <w:rFonts w:hint="eastAsia" w:ascii="仿宋" w:hAnsi="仿宋" w:eastAsia="仿宋" w:cs="仿宋"/>
                <w:i w:val="0"/>
                <w:color w:val="000000"/>
                <w:sz w:val="21"/>
                <w:szCs w:val="21"/>
                <w:highlight w:val="none"/>
                <w:u w:val="none"/>
              </w:rPr>
            </w:pPr>
          </w:p>
        </w:tc>
      </w:tr>
    </w:tbl>
    <w:p>
      <w:pPr>
        <w:keepNext w:val="0"/>
        <w:keepLines w:val="0"/>
        <w:pageBreakBefore w:val="0"/>
        <w:widowControl w:val="0"/>
        <w:shd w:val="clear"/>
        <w:kinsoku/>
        <w:wordWrap/>
        <w:overflowPunct/>
        <w:topLinePunct w:val="0"/>
        <w:autoSpaceDE/>
        <w:autoSpaceDN/>
        <w:bidi w:val="0"/>
        <w:adjustRightInd/>
        <w:snapToGrid/>
        <w:spacing w:line="360" w:lineRule="auto"/>
        <w:ind w:left="0" w:leftChars="0" w:firstLine="636" w:firstLineChars="198"/>
        <w:textAlignment w:val="auto"/>
        <w:outlineLvl w:val="2"/>
        <w:rPr>
          <w:rFonts w:hint="eastAsia" w:ascii="仿宋" w:hAnsi="仿宋" w:eastAsia="仿宋" w:cs="仿宋"/>
          <w:b/>
          <w:bCs/>
          <w:sz w:val="32"/>
          <w:szCs w:val="32"/>
          <w:highlight w:val="none"/>
        </w:rPr>
      </w:pPr>
      <w:bookmarkStart w:id="8" w:name="_Toc24263"/>
      <w:r>
        <w:rPr>
          <w:rFonts w:hint="eastAsia" w:ascii="仿宋" w:hAnsi="仿宋" w:eastAsia="仿宋" w:cs="仿宋"/>
          <w:b/>
          <w:bCs/>
          <w:sz w:val="32"/>
          <w:szCs w:val="32"/>
          <w:highlight w:val="none"/>
          <w:lang w:val="en-US" w:eastAsia="zh-CN"/>
        </w:rPr>
        <w:t>3.</w:t>
      </w:r>
      <w:r>
        <w:rPr>
          <w:rFonts w:hint="eastAsia" w:ascii="仿宋" w:hAnsi="仿宋" w:eastAsia="仿宋" w:cs="仿宋"/>
          <w:b/>
          <w:bCs/>
          <w:sz w:val="32"/>
          <w:szCs w:val="32"/>
          <w:highlight w:val="none"/>
          <w:lang w:eastAsia="zh-CN"/>
        </w:rPr>
        <w:t>资金</w:t>
      </w:r>
      <w:r>
        <w:rPr>
          <w:rFonts w:hint="eastAsia" w:ascii="仿宋" w:hAnsi="仿宋" w:eastAsia="仿宋" w:cs="仿宋"/>
          <w:b/>
          <w:bCs/>
          <w:sz w:val="32"/>
          <w:szCs w:val="32"/>
          <w:highlight w:val="none"/>
        </w:rPr>
        <w:t>管理情况</w:t>
      </w:r>
      <w:bookmarkEnd w:id="8"/>
    </w:p>
    <w:p>
      <w:pPr>
        <w:pStyle w:val="11"/>
        <w:keepNext w:val="0"/>
        <w:keepLines w:val="0"/>
        <w:pageBreakBefore w:val="0"/>
        <w:widowControl w:val="0"/>
        <w:shd w:val="clear"/>
        <w:kinsoku/>
        <w:wordWrap/>
        <w:overflowPunct/>
        <w:topLinePunct w:val="0"/>
        <w:autoSpaceDE/>
        <w:autoSpaceDN/>
        <w:bidi w:val="0"/>
        <w:adjustRightInd/>
        <w:snapToGrid/>
        <w:spacing w:beforeLines="0" w:afterLines="0" w:line="360" w:lineRule="auto"/>
        <w:ind w:left="0" w:leftChars="0"/>
        <w:textAlignment w:val="auto"/>
        <w:outlineLvl w:val="2"/>
        <w:rPr>
          <w:rFonts w:hint="eastAsia" w:ascii="仿宋" w:hAnsi="仿宋" w:eastAsia="仿宋" w:cs="仿宋"/>
          <w:sz w:val="32"/>
          <w:szCs w:val="32"/>
          <w:highlight w:val="none"/>
        </w:rPr>
      </w:pPr>
      <w:r>
        <w:rPr>
          <w:rFonts w:hint="eastAsia" w:ascii="仿宋" w:hAnsi="仿宋" w:eastAsia="仿宋" w:cs="仿宋"/>
          <w:sz w:val="32"/>
          <w:szCs w:val="32"/>
          <w:highlight w:val="none"/>
          <w:lang w:val="en-US" w:eastAsia="zh-CN"/>
        </w:rPr>
        <w:t>资金使用管理方面。宝城公司</w:t>
      </w:r>
      <w:r>
        <w:rPr>
          <w:rFonts w:hint="eastAsia" w:ascii="仿宋" w:hAnsi="仿宋" w:eastAsia="仿宋" w:cs="仿宋"/>
          <w:sz w:val="32"/>
          <w:szCs w:val="32"/>
          <w:highlight w:val="none"/>
          <w:lang w:eastAsia="zh-CN"/>
        </w:rPr>
        <w:t>对专项债券资金</w:t>
      </w:r>
      <w:r>
        <w:rPr>
          <w:rFonts w:hint="eastAsia" w:ascii="仿宋" w:hAnsi="仿宋" w:eastAsia="仿宋" w:cs="仿宋"/>
          <w:sz w:val="32"/>
          <w:szCs w:val="32"/>
          <w:highlight w:val="none"/>
        </w:rPr>
        <w:t>专款专用，严格执行各项财务规章制度和项目资金报账审批制度</w:t>
      </w:r>
      <w:r>
        <w:rPr>
          <w:rFonts w:hint="eastAsia" w:ascii="仿宋" w:hAnsi="仿宋" w:eastAsia="仿宋" w:cs="仿宋"/>
          <w:sz w:val="32"/>
          <w:szCs w:val="32"/>
          <w:highlight w:val="none"/>
          <w:lang w:eastAsia="zh-CN"/>
        </w:rPr>
        <w:t>，通过双控账户按工程进度转账支付工程款、征拆款和监理费，按财政部门通知及时缴纳了各期专债利息。</w:t>
      </w:r>
      <w:r>
        <w:rPr>
          <w:rFonts w:hint="eastAsia" w:ascii="仿宋" w:hAnsi="仿宋" w:eastAsia="仿宋" w:cs="仿宋"/>
          <w:sz w:val="32"/>
          <w:szCs w:val="32"/>
          <w:highlight w:val="none"/>
        </w:rPr>
        <w:t>资金</w:t>
      </w:r>
      <w:r>
        <w:rPr>
          <w:rFonts w:hint="eastAsia" w:ascii="仿宋" w:hAnsi="仿宋" w:eastAsia="仿宋" w:cs="仿宋"/>
          <w:sz w:val="32"/>
          <w:szCs w:val="32"/>
          <w:highlight w:val="none"/>
          <w:lang w:eastAsia="zh-CN"/>
        </w:rPr>
        <w:t>使用</w:t>
      </w:r>
      <w:r>
        <w:rPr>
          <w:rFonts w:hint="eastAsia" w:ascii="仿宋" w:hAnsi="仿宋" w:eastAsia="仿宋" w:cs="仿宋"/>
          <w:sz w:val="32"/>
          <w:szCs w:val="32"/>
          <w:highlight w:val="none"/>
        </w:rPr>
        <w:t>经过了相应的申请、请示等程序，符合</w:t>
      </w:r>
      <w:r>
        <w:rPr>
          <w:rFonts w:hint="eastAsia" w:ascii="仿宋" w:hAnsi="仿宋" w:eastAsia="仿宋" w:cs="仿宋"/>
          <w:sz w:val="32"/>
          <w:szCs w:val="32"/>
          <w:highlight w:val="none"/>
          <w:lang w:eastAsia="zh-CN"/>
        </w:rPr>
        <w:t>制定的《财务管理暂行办法》和《专项资金管理办法》。</w:t>
      </w:r>
      <w:r>
        <w:rPr>
          <w:rFonts w:hint="eastAsia" w:ascii="仿宋" w:hAnsi="仿宋" w:eastAsia="仿宋" w:cs="仿宋"/>
          <w:sz w:val="32"/>
          <w:szCs w:val="32"/>
          <w:highlight w:val="none"/>
          <w:lang w:val="en-US" w:eastAsia="zh-CN"/>
        </w:rPr>
        <w:t>财务审核</w:t>
      </w:r>
      <w:r>
        <w:rPr>
          <w:rFonts w:hint="eastAsia" w:ascii="仿宋" w:hAnsi="仿宋" w:eastAsia="仿宋" w:cs="仿宋"/>
          <w:sz w:val="32"/>
          <w:szCs w:val="32"/>
          <w:highlight w:val="none"/>
        </w:rPr>
        <w:t>资金支出</w:t>
      </w:r>
      <w:r>
        <w:rPr>
          <w:rFonts w:hint="eastAsia" w:ascii="仿宋" w:hAnsi="仿宋" w:eastAsia="仿宋" w:cs="仿宋"/>
          <w:sz w:val="32"/>
          <w:szCs w:val="32"/>
          <w:highlight w:val="none"/>
          <w:lang w:eastAsia="zh-CN"/>
        </w:rPr>
        <w:t>依据的</w:t>
      </w:r>
      <w:r>
        <w:rPr>
          <w:rFonts w:hint="eastAsia" w:ascii="仿宋" w:hAnsi="仿宋" w:eastAsia="仿宋" w:cs="仿宋"/>
          <w:sz w:val="32"/>
          <w:szCs w:val="32"/>
          <w:highlight w:val="none"/>
        </w:rPr>
        <w:t>原始凭证</w:t>
      </w:r>
      <w:r>
        <w:rPr>
          <w:rFonts w:hint="eastAsia" w:ascii="仿宋" w:hAnsi="仿宋" w:eastAsia="仿宋" w:cs="仿宋"/>
          <w:sz w:val="32"/>
          <w:szCs w:val="32"/>
          <w:highlight w:val="none"/>
          <w:lang w:eastAsia="zh-CN"/>
        </w:rPr>
        <w:t>主要</w:t>
      </w:r>
      <w:r>
        <w:rPr>
          <w:rFonts w:hint="eastAsia" w:ascii="仿宋" w:hAnsi="仿宋" w:eastAsia="仿宋" w:cs="仿宋"/>
          <w:sz w:val="32"/>
          <w:szCs w:val="32"/>
          <w:highlight w:val="none"/>
        </w:rPr>
        <w:t>包括：</w:t>
      </w:r>
      <w:r>
        <w:rPr>
          <w:rFonts w:hint="eastAsia" w:ascii="仿宋" w:hAnsi="仿宋" w:eastAsia="仿宋" w:cs="仿宋"/>
          <w:sz w:val="32"/>
          <w:szCs w:val="32"/>
          <w:highlight w:val="none"/>
          <w:lang w:eastAsia="zh-CN"/>
        </w:rPr>
        <w:t>工程款支付审批表（要素包括合同金额、累计完成产值、累计应付、实付金额、监理签字、经办人签字、财务签字、总经理签字、管委会分管工程领导签字）、征地拆迁付款申请表、发票、银行回单，</w:t>
      </w:r>
      <w:r>
        <w:rPr>
          <w:rFonts w:hint="eastAsia" w:ascii="仿宋" w:hAnsi="仿宋" w:eastAsia="仿宋" w:cs="仿宋"/>
          <w:sz w:val="32"/>
          <w:szCs w:val="32"/>
          <w:highlight w:val="none"/>
        </w:rPr>
        <w:t>履行</w:t>
      </w:r>
      <w:r>
        <w:rPr>
          <w:rFonts w:hint="eastAsia" w:ascii="仿宋" w:hAnsi="仿宋" w:eastAsia="仿宋" w:cs="仿宋"/>
          <w:sz w:val="32"/>
          <w:szCs w:val="32"/>
          <w:highlight w:val="none"/>
          <w:lang w:eastAsia="zh-CN"/>
        </w:rPr>
        <w:t>了</w:t>
      </w:r>
      <w:r>
        <w:rPr>
          <w:rFonts w:hint="eastAsia" w:ascii="仿宋" w:hAnsi="仿宋" w:eastAsia="仿宋" w:cs="仿宋"/>
          <w:sz w:val="32"/>
          <w:szCs w:val="32"/>
          <w:highlight w:val="none"/>
        </w:rPr>
        <w:t>各责任人签名手续。</w:t>
      </w:r>
      <w:bookmarkStart w:id="9" w:name="_Toc16773"/>
    </w:p>
    <w:p>
      <w:pPr>
        <w:pStyle w:val="11"/>
        <w:keepNext w:val="0"/>
        <w:keepLines w:val="0"/>
        <w:pageBreakBefore w:val="0"/>
        <w:widowControl w:val="0"/>
        <w:shd w:val="clear"/>
        <w:kinsoku/>
        <w:wordWrap/>
        <w:overflowPunct/>
        <w:topLinePunct w:val="0"/>
        <w:autoSpaceDE/>
        <w:autoSpaceDN/>
        <w:bidi w:val="0"/>
        <w:adjustRightInd/>
        <w:snapToGrid/>
        <w:spacing w:beforeLines="0" w:afterLines="0" w:line="360" w:lineRule="auto"/>
        <w:ind w:left="0" w:leftChars="0"/>
        <w:textAlignment w:val="auto"/>
        <w:outlineLvl w:val="2"/>
        <w:rPr>
          <w:rFonts w:hint="eastAsia" w:ascii="楷体" w:hAnsi="楷体" w:eastAsia="楷体" w:cs="楷体"/>
          <w:b/>
          <w:bCs/>
          <w:sz w:val="32"/>
          <w:szCs w:val="32"/>
          <w:highlight w:val="none"/>
          <w:lang w:val="en-US" w:eastAsia="zh-CN"/>
        </w:rPr>
      </w:pPr>
      <w:r>
        <w:rPr>
          <w:rFonts w:hint="eastAsia" w:ascii="楷体" w:hAnsi="楷体" w:eastAsia="楷体" w:cs="楷体"/>
          <w:b/>
          <w:bCs/>
          <w:sz w:val="32"/>
          <w:szCs w:val="32"/>
          <w:highlight w:val="none"/>
          <w:lang w:val="en-US" w:eastAsia="zh-CN"/>
        </w:rPr>
        <w:t>（五）项目组织实施情况</w:t>
      </w:r>
    </w:p>
    <w:p>
      <w:pPr>
        <w:pStyle w:val="11"/>
        <w:keepNext w:val="0"/>
        <w:keepLines w:val="0"/>
        <w:pageBreakBefore w:val="0"/>
        <w:widowControl w:val="0"/>
        <w:shd w:val="clear"/>
        <w:kinsoku/>
        <w:wordWrap/>
        <w:overflowPunct/>
        <w:topLinePunct w:val="0"/>
        <w:autoSpaceDE/>
        <w:autoSpaceDN/>
        <w:bidi w:val="0"/>
        <w:adjustRightInd/>
        <w:snapToGrid/>
        <w:spacing w:beforeLines="0" w:afterLines="0" w:line="360" w:lineRule="auto"/>
        <w:ind w:left="0" w:leftChars="0"/>
        <w:textAlignment w:val="auto"/>
        <w:outlineLvl w:val="2"/>
        <w:rPr>
          <w:rFonts w:hint="eastAsia" w:ascii="仿宋" w:hAnsi="仿宋" w:eastAsia="仿宋" w:cs="仿宋"/>
          <w:b/>
          <w:bCs/>
          <w:sz w:val="32"/>
          <w:szCs w:val="32"/>
          <w:highlight w:val="none"/>
          <w:lang w:val="en-US" w:eastAsia="zh-CN"/>
        </w:rPr>
      </w:pPr>
      <w:r>
        <w:rPr>
          <w:rFonts w:hint="eastAsia" w:ascii="仿宋" w:hAnsi="仿宋" w:eastAsia="仿宋" w:cs="仿宋"/>
          <w:b/>
          <w:bCs/>
          <w:sz w:val="32"/>
          <w:szCs w:val="32"/>
          <w:highlight w:val="none"/>
          <w:lang w:val="en-US" w:eastAsia="zh-CN"/>
        </w:rPr>
        <w:t>1.工程招标</w:t>
      </w:r>
    </w:p>
    <w:p>
      <w:pPr>
        <w:pStyle w:val="11"/>
        <w:keepNext w:val="0"/>
        <w:keepLines w:val="0"/>
        <w:pageBreakBefore w:val="0"/>
        <w:widowControl w:val="0"/>
        <w:shd w:val="clear"/>
        <w:kinsoku/>
        <w:wordWrap/>
        <w:overflowPunct/>
        <w:topLinePunct w:val="0"/>
        <w:autoSpaceDE/>
        <w:autoSpaceDN/>
        <w:bidi w:val="0"/>
        <w:adjustRightInd/>
        <w:snapToGrid/>
        <w:spacing w:beforeLines="0" w:afterLines="0" w:line="360" w:lineRule="auto"/>
        <w:ind w:left="0" w:leftChars="0"/>
        <w:textAlignment w:val="auto"/>
        <w:outlineLvl w:val="2"/>
        <w:rPr>
          <w:rFonts w:hint="eastAsia" w:ascii="仿宋" w:hAnsi="仿宋" w:eastAsia="仿宋" w:cs="仿宋"/>
          <w:spacing w:val="-8"/>
          <w:sz w:val="32"/>
          <w:szCs w:val="32"/>
          <w:highlight w:val="none"/>
          <w:lang w:val="en-US" w:eastAsia="zh-CN"/>
        </w:rPr>
      </w:pPr>
      <w:r>
        <w:rPr>
          <w:rFonts w:hint="eastAsia" w:ascii="仿宋" w:hAnsi="仿宋" w:eastAsia="仿宋" w:cs="仿宋"/>
          <w:sz w:val="32"/>
          <w:szCs w:val="32"/>
          <w:highlight w:val="none"/>
          <w:lang w:val="en-US" w:eastAsia="zh-CN"/>
        </w:rPr>
        <w:t>宝城公司对本项目工程施工、监理服务采用公开招标和邀请招标两种形式，与中标方签定合同</w:t>
      </w:r>
      <w:r>
        <w:rPr>
          <w:rFonts w:hint="eastAsia" w:ascii="仿宋" w:hAnsi="仿宋" w:eastAsia="仿宋" w:cs="仿宋"/>
          <w:kern w:val="2"/>
          <w:sz w:val="32"/>
          <w:szCs w:val="32"/>
          <w:highlight w:val="none"/>
          <w:lang w:val="en-US" w:eastAsia="zh-CN" w:bidi="ar-SA"/>
        </w:rPr>
        <w:t>明确工程规模、建设标准、建设工期、支付方式、双方责任和义务等内容</w:t>
      </w:r>
      <w:r>
        <w:rPr>
          <w:rFonts w:hint="eastAsia" w:ascii="仿宋" w:hAnsi="仿宋" w:eastAsia="仿宋" w:cs="仿宋"/>
          <w:sz w:val="32"/>
          <w:szCs w:val="32"/>
          <w:highlight w:val="none"/>
          <w:lang w:val="en-US" w:eastAsia="zh-CN"/>
        </w:rPr>
        <w:t>。公司于</w:t>
      </w:r>
      <w:r>
        <w:rPr>
          <w:rFonts w:hint="eastAsia" w:ascii="仿宋" w:hAnsi="仿宋" w:eastAsia="仿宋" w:cs="仿宋"/>
          <w:spacing w:val="-8"/>
          <w:sz w:val="32"/>
          <w:szCs w:val="32"/>
          <w:highlight w:val="none"/>
          <w:lang w:val="en-US" w:eastAsia="zh-CN"/>
        </w:rPr>
        <w:t>2019年4月对标准厂房及配套设施建设项目采取公开招投标方式，由邵阳公路桥梁建设有限责任公司中标并签定施工合同。2020年12月公司与市路桥公司签定二标段11510.92万元建筑工程合同，该标段仅通过会议决定项目施工单位。对配电工程、监理服务采用邀请招标等方式，与湖南科立电力建设有限公司签定了配电工程合同，与湖南恒实项目管理有限公司签定了工程监理合同。</w:t>
      </w:r>
    </w:p>
    <w:p>
      <w:pPr>
        <w:pStyle w:val="11"/>
        <w:keepNext w:val="0"/>
        <w:keepLines w:val="0"/>
        <w:pageBreakBefore w:val="0"/>
        <w:widowControl w:val="0"/>
        <w:shd w:val="clear"/>
        <w:kinsoku/>
        <w:wordWrap/>
        <w:overflowPunct/>
        <w:topLinePunct w:val="0"/>
        <w:autoSpaceDE/>
        <w:autoSpaceDN/>
        <w:bidi w:val="0"/>
        <w:adjustRightInd/>
        <w:snapToGrid/>
        <w:spacing w:beforeLines="0" w:afterLines="0" w:line="360" w:lineRule="auto"/>
        <w:ind w:left="0" w:leftChars="0"/>
        <w:textAlignment w:val="auto"/>
        <w:outlineLvl w:val="2"/>
        <w:rPr>
          <w:rFonts w:hint="eastAsia" w:ascii="仿宋" w:hAnsi="仿宋" w:eastAsia="仿宋" w:cs="仿宋"/>
          <w:b/>
          <w:bCs/>
          <w:spacing w:val="-8"/>
          <w:sz w:val="32"/>
          <w:szCs w:val="32"/>
          <w:highlight w:val="none"/>
          <w:lang w:val="en-US" w:eastAsia="zh-CN"/>
        </w:rPr>
      </w:pPr>
      <w:r>
        <w:rPr>
          <w:rFonts w:hint="eastAsia" w:ascii="仿宋" w:hAnsi="仿宋" w:eastAsia="仿宋" w:cs="仿宋"/>
          <w:b/>
          <w:bCs/>
          <w:spacing w:val="-8"/>
          <w:sz w:val="32"/>
          <w:szCs w:val="32"/>
          <w:highlight w:val="none"/>
          <w:lang w:val="en-US" w:eastAsia="zh-CN"/>
        </w:rPr>
        <w:t>2.工程建设和监督</w:t>
      </w:r>
    </w:p>
    <w:p>
      <w:pPr>
        <w:pStyle w:val="11"/>
        <w:keepNext w:val="0"/>
        <w:keepLines w:val="0"/>
        <w:pageBreakBefore w:val="0"/>
        <w:widowControl w:val="0"/>
        <w:shd w:val="clear"/>
        <w:kinsoku/>
        <w:wordWrap/>
        <w:overflowPunct/>
        <w:topLinePunct w:val="0"/>
        <w:autoSpaceDE/>
        <w:autoSpaceDN/>
        <w:bidi w:val="0"/>
        <w:adjustRightInd/>
        <w:snapToGrid/>
        <w:spacing w:beforeLines="0" w:afterLines="0" w:line="360" w:lineRule="auto"/>
        <w:ind w:left="0" w:leftChars="0"/>
        <w:textAlignment w:val="auto"/>
        <w:outlineLvl w:val="2"/>
        <w:rPr>
          <w:rFonts w:hint="eastAsia" w:ascii="仿宋" w:hAnsi="仿宋" w:eastAsia="仿宋" w:cs="仿宋"/>
          <w:b w:val="0"/>
          <w:bCs w:val="0"/>
          <w:sz w:val="32"/>
          <w:szCs w:val="32"/>
          <w:highlight w:val="none"/>
          <w:lang w:val="en-US" w:eastAsia="zh-CN"/>
        </w:rPr>
      </w:pPr>
      <w:r>
        <w:rPr>
          <w:rFonts w:hint="eastAsia" w:ascii="仿宋" w:hAnsi="仿宋" w:eastAsia="仿宋" w:cs="仿宋"/>
          <w:kern w:val="2"/>
          <w:sz w:val="32"/>
          <w:szCs w:val="32"/>
          <w:highlight w:val="none"/>
          <w:lang w:val="en-US" w:eastAsia="zh-CN" w:bidi="ar-SA"/>
        </w:rPr>
        <w:t>施工方按合同书约定的建设内容和质量标准进行，</w:t>
      </w:r>
      <w:r>
        <w:rPr>
          <w:rFonts w:hint="eastAsia" w:ascii="仿宋" w:hAnsi="仿宋" w:eastAsia="仿宋" w:cs="仿宋"/>
          <w:sz w:val="32"/>
          <w:szCs w:val="32"/>
          <w:highlight w:val="none"/>
          <w:lang w:val="en-US" w:eastAsia="zh-CN"/>
        </w:rPr>
        <w:t>宝城公司派现场人员</w:t>
      </w:r>
      <w:r>
        <w:rPr>
          <w:rFonts w:hint="eastAsia" w:ascii="仿宋" w:hAnsi="仿宋" w:eastAsia="仿宋" w:cs="仿宋"/>
          <w:sz w:val="32"/>
          <w:szCs w:val="32"/>
          <w:highlight w:val="none"/>
          <w:lang w:eastAsia="zh-CN"/>
        </w:rPr>
        <w:t>检查项目施工单位、监理人员是否与合同、与投标文件要求相符，不定期检查监理日志等监理资料，检查项目安全生产工作，对检查中存在的问题提出整改意见，并进行复查做好相关记录，根据公司要求按时填报项目进度情况。</w:t>
      </w:r>
    </w:p>
    <w:p>
      <w:pPr>
        <w:pStyle w:val="11"/>
        <w:keepNext w:val="0"/>
        <w:keepLines w:val="0"/>
        <w:pageBreakBefore w:val="0"/>
        <w:widowControl w:val="0"/>
        <w:shd w:val="clear"/>
        <w:kinsoku/>
        <w:wordWrap/>
        <w:overflowPunct/>
        <w:topLinePunct w:val="0"/>
        <w:autoSpaceDE/>
        <w:autoSpaceDN/>
        <w:bidi w:val="0"/>
        <w:adjustRightInd/>
        <w:snapToGrid/>
        <w:spacing w:beforeLines="0" w:afterLines="0" w:line="360" w:lineRule="auto"/>
        <w:ind w:left="0" w:leftChars="0"/>
        <w:textAlignment w:val="auto"/>
        <w:outlineLvl w:val="2"/>
        <w:rPr>
          <w:rFonts w:hint="eastAsia" w:ascii="仿宋" w:hAnsi="仿宋" w:eastAsia="仿宋" w:cs="仿宋"/>
          <w:b/>
          <w:bCs/>
          <w:spacing w:val="-8"/>
          <w:sz w:val="32"/>
          <w:szCs w:val="32"/>
          <w:highlight w:val="none"/>
        </w:rPr>
      </w:pPr>
      <w:r>
        <w:rPr>
          <w:rFonts w:hint="eastAsia" w:ascii="仿宋" w:hAnsi="仿宋" w:eastAsia="仿宋" w:cs="仿宋"/>
          <w:b/>
          <w:bCs/>
          <w:sz w:val="32"/>
          <w:szCs w:val="32"/>
          <w:highlight w:val="none"/>
          <w:lang w:val="en-US" w:eastAsia="zh-CN"/>
        </w:rPr>
        <w:t>3.</w:t>
      </w:r>
      <w:r>
        <w:rPr>
          <w:rFonts w:hint="eastAsia" w:ascii="仿宋" w:hAnsi="仿宋" w:eastAsia="仿宋" w:cs="仿宋"/>
          <w:b/>
          <w:bCs/>
          <w:spacing w:val="-8"/>
          <w:sz w:val="32"/>
          <w:szCs w:val="32"/>
          <w:highlight w:val="none"/>
          <w:lang w:eastAsia="zh-CN"/>
        </w:rPr>
        <w:t>竣工</w:t>
      </w:r>
      <w:r>
        <w:rPr>
          <w:rFonts w:hint="eastAsia" w:ascii="仿宋" w:hAnsi="仿宋" w:eastAsia="仿宋" w:cs="仿宋"/>
          <w:b/>
          <w:bCs/>
          <w:spacing w:val="-8"/>
          <w:sz w:val="32"/>
          <w:szCs w:val="32"/>
          <w:highlight w:val="none"/>
        </w:rPr>
        <w:t>验收</w:t>
      </w:r>
      <w:bookmarkEnd w:id="9"/>
    </w:p>
    <w:p>
      <w:pPr>
        <w:pStyle w:val="11"/>
        <w:keepNext w:val="0"/>
        <w:keepLines w:val="0"/>
        <w:pageBreakBefore w:val="0"/>
        <w:widowControl w:val="0"/>
        <w:shd w:val="clear"/>
        <w:kinsoku/>
        <w:wordWrap/>
        <w:overflowPunct/>
        <w:topLinePunct w:val="0"/>
        <w:autoSpaceDE/>
        <w:autoSpaceDN/>
        <w:bidi w:val="0"/>
        <w:adjustRightInd/>
        <w:snapToGrid/>
        <w:spacing w:beforeLines="0" w:afterLines="0" w:line="360" w:lineRule="auto"/>
        <w:ind w:left="0" w:leftChars="0"/>
        <w:textAlignment w:val="auto"/>
        <w:outlineLvl w:val="2"/>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2021年6月15日，宝城公司组织经开区建筑质量安全监督管理站以及三一配套工业厂房工程的使用单位、建设单位、监理单位、设计单位、勘察单位、施工单位，对项目进行了竣工验收，形成各参与方签字并加盖公章的验收会议纪要和验收证书。工程评定为合格。</w:t>
      </w:r>
    </w:p>
    <w:p>
      <w:pPr>
        <w:pStyle w:val="2"/>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ind w:left="0" w:firstLine="643" w:firstLineChars="200"/>
        <w:textAlignment w:val="auto"/>
        <w:outlineLvl w:val="1"/>
        <w:rPr>
          <w:rFonts w:hint="eastAsia" w:ascii="楷体" w:hAnsi="楷体" w:eastAsia="楷体" w:cs="楷体"/>
          <w:b/>
          <w:bCs/>
          <w:kern w:val="2"/>
          <w:sz w:val="32"/>
          <w:szCs w:val="32"/>
          <w:highlight w:val="none"/>
          <w:lang w:val="en-US" w:eastAsia="zh-CN" w:bidi="ar-SA"/>
        </w:rPr>
      </w:pPr>
      <w:bookmarkStart w:id="10" w:name="_Toc28157"/>
      <w:r>
        <w:rPr>
          <w:rFonts w:hint="eastAsia" w:ascii="楷体" w:hAnsi="楷体" w:eastAsia="楷体" w:cs="楷体"/>
          <w:b/>
          <w:bCs/>
          <w:kern w:val="2"/>
          <w:sz w:val="32"/>
          <w:szCs w:val="32"/>
          <w:highlight w:val="none"/>
          <w:lang w:val="en-US" w:eastAsia="zh-CN" w:bidi="ar-SA"/>
        </w:rPr>
        <w:t>（五）专项资金预算绩效目标</w:t>
      </w:r>
    </w:p>
    <w:p>
      <w:pPr>
        <w:keepNext w:val="0"/>
        <w:keepLines w:val="0"/>
        <w:pageBreakBefore w:val="0"/>
        <w:widowControl w:val="0"/>
        <w:shd w:val="clear"/>
        <w:kinsoku/>
        <w:wordWrap/>
        <w:overflowPunct/>
        <w:topLinePunct w:val="0"/>
        <w:autoSpaceDE/>
        <w:autoSpaceDN/>
        <w:bidi w:val="0"/>
        <w:adjustRightInd/>
        <w:snapToGrid/>
        <w:spacing w:line="360" w:lineRule="auto"/>
        <w:ind w:left="0" w:leftChars="0" w:firstLine="633" w:firstLineChars="198"/>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项目未申报具体的绩效目标，根据可研报告、立项批复、施工合同等资料归纳的主要绩效目标如下：</w:t>
      </w:r>
    </w:p>
    <w:p>
      <w:pPr>
        <w:keepNext w:val="0"/>
        <w:keepLines w:val="0"/>
        <w:pageBreakBefore w:val="0"/>
        <w:widowControl w:val="0"/>
        <w:shd w:val="clear"/>
        <w:kinsoku/>
        <w:wordWrap/>
        <w:overflowPunct/>
        <w:topLinePunct w:val="0"/>
        <w:autoSpaceDE/>
        <w:autoSpaceDN/>
        <w:bidi w:val="0"/>
        <w:adjustRightInd/>
        <w:snapToGrid/>
        <w:spacing w:line="360" w:lineRule="auto"/>
        <w:ind w:left="0" w:leftChars="0" w:firstLine="636" w:firstLineChars="198"/>
        <w:textAlignment w:val="auto"/>
        <w:rPr>
          <w:rFonts w:hint="eastAsia" w:ascii="仿宋" w:hAnsi="仿宋" w:eastAsia="仿宋" w:cs="仿宋"/>
          <w:sz w:val="32"/>
          <w:szCs w:val="32"/>
          <w:highlight w:val="none"/>
          <w:lang w:val="en-US" w:eastAsia="zh-CN"/>
        </w:rPr>
      </w:pPr>
      <w:r>
        <w:rPr>
          <w:rFonts w:hint="eastAsia" w:ascii="仿宋" w:hAnsi="仿宋" w:eastAsia="仿宋" w:cs="仿宋"/>
          <w:b/>
          <w:bCs/>
          <w:sz w:val="32"/>
          <w:szCs w:val="32"/>
          <w:highlight w:val="none"/>
          <w:lang w:val="en-US" w:eastAsia="zh-CN"/>
        </w:rPr>
        <w:t>产出数量：</w:t>
      </w:r>
      <w:r>
        <w:rPr>
          <w:rFonts w:hint="eastAsia" w:ascii="仿宋" w:hAnsi="仿宋" w:eastAsia="仿宋" w:cs="仿宋"/>
          <w:sz w:val="32"/>
          <w:szCs w:val="32"/>
          <w:highlight w:val="none"/>
          <w:lang w:val="en-US" w:eastAsia="zh-CN"/>
        </w:rPr>
        <w:t>建设标准厂房3个，扩建厂房1个；建设流通道1个，食堂1个，空压间1个，污水处理间1个，垃圾间1个，消防水池2个，传达室2个，配电房4个；完成道路、绿化工程和强弱电配套设施；完成三通一平等土地一级开发工作。</w:t>
      </w:r>
    </w:p>
    <w:p>
      <w:pPr>
        <w:keepNext w:val="0"/>
        <w:keepLines w:val="0"/>
        <w:pageBreakBefore w:val="0"/>
        <w:widowControl w:val="0"/>
        <w:shd w:val="clear"/>
        <w:kinsoku/>
        <w:wordWrap/>
        <w:overflowPunct/>
        <w:topLinePunct w:val="0"/>
        <w:autoSpaceDE/>
        <w:autoSpaceDN/>
        <w:bidi w:val="0"/>
        <w:adjustRightInd/>
        <w:snapToGrid/>
        <w:spacing w:line="360" w:lineRule="auto"/>
        <w:ind w:left="0" w:leftChars="0" w:firstLine="636" w:firstLineChars="198"/>
        <w:textAlignment w:val="auto"/>
        <w:rPr>
          <w:rFonts w:hint="eastAsia" w:ascii="仿宋" w:hAnsi="仿宋" w:eastAsia="仿宋" w:cs="仿宋"/>
          <w:sz w:val="32"/>
          <w:szCs w:val="32"/>
          <w:highlight w:val="none"/>
          <w:lang w:val="en-US" w:eastAsia="zh-CN"/>
        </w:rPr>
      </w:pPr>
      <w:r>
        <w:rPr>
          <w:rFonts w:hint="eastAsia" w:ascii="仿宋" w:hAnsi="仿宋" w:eastAsia="仿宋" w:cs="仿宋"/>
          <w:b/>
          <w:bCs/>
          <w:sz w:val="32"/>
          <w:szCs w:val="32"/>
          <w:highlight w:val="none"/>
          <w:lang w:val="en-US" w:eastAsia="zh-CN"/>
        </w:rPr>
        <w:t>产出质量：</w:t>
      </w:r>
      <w:r>
        <w:rPr>
          <w:rFonts w:hint="eastAsia" w:ascii="仿宋" w:hAnsi="仿宋" w:eastAsia="仿宋" w:cs="仿宋"/>
          <w:sz w:val="32"/>
          <w:szCs w:val="32"/>
          <w:highlight w:val="none"/>
          <w:lang w:val="en-US" w:eastAsia="zh-CN"/>
        </w:rPr>
        <w:t>工程质量达到合格标准，质量验收达标率100%。</w:t>
      </w:r>
    </w:p>
    <w:p>
      <w:pPr>
        <w:keepNext w:val="0"/>
        <w:keepLines w:val="0"/>
        <w:pageBreakBefore w:val="0"/>
        <w:widowControl w:val="0"/>
        <w:shd w:val="clear"/>
        <w:kinsoku/>
        <w:wordWrap/>
        <w:overflowPunct/>
        <w:topLinePunct w:val="0"/>
        <w:autoSpaceDE/>
        <w:autoSpaceDN/>
        <w:bidi w:val="0"/>
        <w:adjustRightInd/>
        <w:snapToGrid/>
        <w:spacing w:line="360" w:lineRule="auto"/>
        <w:ind w:left="0" w:leftChars="0" w:firstLine="636" w:firstLineChars="198"/>
        <w:textAlignment w:val="auto"/>
        <w:rPr>
          <w:rFonts w:hint="eastAsia" w:ascii="仿宋" w:hAnsi="仿宋" w:eastAsia="仿宋" w:cs="仿宋"/>
          <w:b w:val="0"/>
          <w:bCs w:val="0"/>
          <w:sz w:val="32"/>
          <w:szCs w:val="32"/>
          <w:highlight w:val="none"/>
          <w:lang w:val="en-US" w:eastAsia="zh-CN"/>
        </w:rPr>
      </w:pPr>
      <w:r>
        <w:rPr>
          <w:rFonts w:hint="eastAsia" w:ascii="仿宋" w:hAnsi="仿宋" w:eastAsia="仿宋" w:cs="仿宋"/>
          <w:b/>
          <w:bCs/>
          <w:sz w:val="32"/>
          <w:szCs w:val="32"/>
          <w:highlight w:val="none"/>
          <w:lang w:val="en-US" w:eastAsia="zh-CN"/>
        </w:rPr>
        <w:t>产出成本：</w:t>
      </w:r>
      <w:r>
        <w:rPr>
          <w:rFonts w:hint="eastAsia" w:ascii="仿宋" w:hAnsi="仿宋" w:eastAsia="仿宋" w:cs="仿宋"/>
          <w:b w:val="0"/>
          <w:bCs w:val="0"/>
          <w:sz w:val="32"/>
          <w:szCs w:val="32"/>
          <w:highlight w:val="none"/>
          <w:lang w:val="en-US" w:eastAsia="zh-CN"/>
        </w:rPr>
        <w:t>建设成本节约率大于或等于零。</w:t>
      </w:r>
    </w:p>
    <w:p>
      <w:pPr>
        <w:keepNext w:val="0"/>
        <w:keepLines w:val="0"/>
        <w:pageBreakBefore w:val="0"/>
        <w:widowControl w:val="0"/>
        <w:shd w:val="clear"/>
        <w:kinsoku/>
        <w:wordWrap/>
        <w:overflowPunct/>
        <w:topLinePunct w:val="0"/>
        <w:autoSpaceDE/>
        <w:autoSpaceDN/>
        <w:bidi w:val="0"/>
        <w:adjustRightInd/>
        <w:snapToGrid/>
        <w:spacing w:line="360" w:lineRule="auto"/>
        <w:ind w:left="0" w:leftChars="0" w:firstLine="636" w:firstLineChars="198"/>
        <w:textAlignment w:val="auto"/>
        <w:rPr>
          <w:rFonts w:hint="eastAsia" w:ascii="仿宋" w:hAnsi="仿宋" w:eastAsia="仿宋" w:cs="仿宋"/>
          <w:sz w:val="32"/>
          <w:szCs w:val="32"/>
          <w:highlight w:val="none"/>
          <w:lang w:val="en-US" w:eastAsia="zh-CN"/>
        </w:rPr>
      </w:pPr>
      <w:r>
        <w:rPr>
          <w:rFonts w:hint="eastAsia" w:ascii="仿宋" w:hAnsi="仿宋" w:eastAsia="仿宋" w:cs="仿宋"/>
          <w:b/>
          <w:bCs/>
          <w:sz w:val="32"/>
          <w:szCs w:val="32"/>
          <w:highlight w:val="none"/>
          <w:lang w:val="en-US" w:eastAsia="zh-CN"/>
        </w:rPr>
        <w:t>产出时效：</w:t>
      </w:r>
      <w:r>
        <w:rPr>
          <w:rFonts w:hint="eastAsia" w:ascii="仿宋" w:hAnsi="仿宋" w:eastAsia="仿宋" w:cs="仿宋"/>
          <w:b w:val="0"/>
          <w:bCs w:val="0"/>
          <w:sz w:val="32"/>
          <w:szCs w:val="32"/>
          <w:highlight w:val="none"/>
          <w:lang w:val="en-US" w:eastAsia="zh-CN"/>
        </w:rPr>
        <w:t>完成及时性，包括组织施工及时性，工程完工及时性，工程验收及时性三个方面。</w:t>
      </w:r>
    </w:p>
    <w:p>
      <w:pPr>
        <w:keepNext w:val="0"/>
        <w:keepLines w:val="0"/>
        <w:pageBreakBefore w:val="0"/>
        <w:widowControl w:val="0"/>
        <w:shd w:val="clear"/>
        <w:kinsoku/>
        <w:wordWrap/>
        <w:overflowPunct/>
        <w:topLinePunct w:val="0"/>
        <w:autoSpaceDE/>
        <w:autoSpaceDN/>
        <w:bidi w:val="0"/>
        <w:adjustRightInd/>
        <w:snapToGrid/>
        <w:spacing w:line="360" w:lineRule="auto"/>
        <w:ind w:left="0" w:firstLine="643" w:firstLineChars="200"/>
        <w:jc w:val="both"/>
        <w:textAlignment w:val="auto"/>
        <w:rPr>
          <w:rFonts w:hint="eastAsia" w:ascii="仿宋" w:hAnsi="仿宋" w:eastAsia="仿宋" w:cs="仿宋"/>
          <w:kern w:val="2"/>
          <w:sz w:val="32"/>
          <w:szCs w:val="32"/>
          <w:highlight w:val="none"/>
          <w:lang w:val="en-US" w:eastAsia="zh-CN" w:bidi="ar-SA"/>
        </w:rPr>
      </w:pPr>
      <w:r>
        <w:rPr>
          <w:rFonts w:hint="eastAsia" w:ascii="仿宋" w:hAnsi="仿宋" w:eastAsia="仿宋" w:cs="仿宋"/>
          <w:b/>
          <w:bCs/>
          <w:kern w:val="2"/>
          <w:sz w:val="32"/>
          <w:szCs w:val="32"/>
          <w:highlight w:val="none"/>
          <w:lang w:val="en-US" w:eastAsia="zh-CN" w:bidi="ar-SA"/>
        </w:rPr>
        <w:t>经济效益：</w:t>
      </w:r>
      <w:r>
        <w:rPr>
          <w:rFonts w:hint="eastAsia" w:ascii="仿宋" w:hAnsi="仿宋" w:eastAsia="仿宋" w:cs="仿宋"/>
          <w:kern w:val="2"/>
          <w:sz w:val="32"/>
          <w:szCs w:val="32"/>
          <w:highlight w:val="none"/>
          <w:lang w:val="en-US" w:eastAsia="zh-CN" w:bidi="ar-SA"/>
        </w:rPr>
        <w:t>提高三一专汽产能，带动上下游产业增长。</w:t>
      </w:r>
    </w:p>
    <w:p>
      <w:pPr>
        <w:keepNext w:val="0"/>
        <w:keepLines w:val="0"/>
        <w:pageBreakBefore w:val="0"/>
        <w:widowControl w:val="0"/>
        <w:shd w:val="clear"/>
        <w:kinsoku/>
        <w:wordWrap/>
        <w:overflowPunct/>
        <w:topLinePunct w:val="0"/>
        <w:autoSpaceDE/>
        <w:autoSpaceDN/>
        <w:bidi w:val="0"/>
        <w:adjustRightInd/>
        <w:snapToGrid/>
        <w:spacing w:line="360" w:lineRule="auto"/>
        <w:ind w:left="0" w:firstLine="643" w:firstLineChars="200"/>
        <w:jc w:val="both"/>
        <w:textAlignment w:val="auto"/>
        <w:rPr>
          <w:rFonts w:hint="eastAsia" w:ascii="仿宋" w:hAnsi="仿宋" w:eastAsia="仿宋" w:cs="仿宋"/>
          <w:kern w:val="2"/>
          <w:sz w:val="32"/>
          <w:szCs w:val="32"/>
          <w:highlight w:val="none"/>
          <w:lang w:val="en-US" w:eastAsia="zh-CN" w:bidi="ar-SA"/>
        </w:rPr>
      </w:pPr>
      <w:r>
        <w:rPr>
          <w:rFonts w:hint="eastAsia" w:ascii="仿宋" w:hAnsi="仿宋" w:eastAsia="仿宋" w:cs="仿宋"/>
          <w:b/>
          <w:bCs/>
          <w:kern w:val="2"/>
          <w:sz w:val="32"/>
          <w:szCs w:val="32"/>
          <w:highlight w:val="none"/>
          <w:lang w:val="en-US" w:eastAsia="zh-CN" w:bidi="ar-SA"/>
        </w:rPr>
        <w:t>社会效益：</w:t>
      </w:r>
      <w:r>
        <w:rPr>
          <w:rFonts w:hint="eastAsia" w:ascii="仿宋" w:hAnsi="仿宋" w:eastAsia="仿宋" w:cs="仿宋"/>
          <w:kern w:val="2"/>
          <w:sz w:val="32"/>
          <w:szCs w:val="32"/>
          <w:highlight w:val="none"/>
          <w:lang w:val="en-US" w:eastAsia="zh-CN" w:bidi="ar-SA"/>
        </w:rPr>
        <w:t>完善产业园基础设施，符合邵阳市城市总体发展规划。</w:t>
      </w:r>
    </w:p>
    <w:p>
      <w:pPr>
        <w:keepNext w:val="0"/>
        <w:keepLines w:val="0"/>
        <w:pageBreakBefore w:val="0"/>
        <w:widowControl w:val="0"/>
        <w:shd w:val="clear"/>
        <w:kinsoku/>
        <w:wordWrap/>
        <w:overflowPunct/>
        <w:topLinePunct w:val="0"/>
        <w:autoSpaceDE/>
        <w:autoSpaceDN/>
        <w:bidi w:val="0"/>
        <w:adjustRightInd/>
        <w:snapToGrid/>
        <w:spacing w:line="360" w:lineRule="auto"/>
        <w:ind w:left="0" w:firstLine="643" w:firstLineChars="200"/>
        <w:jc w:val="both"/>
        <w:textAlignment w:val="auto"/>
        <w:rPr>
          <w:rFonts w:hint="eastAsia" w:ascii="仿宋" w:hAnsi="仿宋" w:eastAsia="仿宋" w:cs="仿宋"/>
          <w:kern w:val="2"/>
          <w:sz w:val="32"/>
          <w:szCs w:val="32"/>
          <w:highlight w:val="none"/>
          <w:lang w:val="en-US" w:eastAsia="zh-CN" w:bidi="ar-SA"/>
        </w:rPr>
      </w:pPr>
      <w:r>
        <w:rPr>
          <w:rFonts w:hint="eastAsia" w:ascii="仿宋" w:hAnsi="仿宋" w:eastAsia="仿宋" w:cs="仿宋"/>
          <w:b/>
          <w:bCs/>
          <w:kern w:val="2"/>
          <w:sz w:val="32"/>
          <w:szCs w:val="32"/>
          <w:highlight w:val="none"/>
          <w:lang w:val="en-US" w:eastAsia="zh-CN" w:bidi="ar-SA"/>
        </w:rPr>
        <w:t>可持续影响：</w:t>
      </w:r>
      <w:r>
        <w:rPr>
          <w:rFonts w:hint="eastAsia" w:ascii="仿宋" w:hAnsi="仿宋" w:eastAsia="仿宋" w:cs="仿宋"/>
          <w:kern w:val="2"/>
          <w:sz w:val="32"/>
          <w:szCs w:val="32"/>
          <w:highlight w:val="none"/>
          <w:lang w:val="en-US" w:eastAsia="zh-CN" w:bidi="ar-SA"/>
        </w:rPr>
        <w:t>吸引更多配套企业入驻，增加区域就业机会。</w:t>
      </w:r>
    </w:p>
    <w:p>
      <w:pPr>
        <w:keepNext w:val="0"/>
        <w:keepLines w:val="0"/>
        <w:pageBreakBefore w:val="0"/>
        <w:widowControl w:val="0"/>
        <w:shd w:val="clear"/>
        <w:kinsoku/>
        <w:wordWrap/>
        <w:overflowPunct/>
        <w:topLinePunct w:val="0"/>
        <w:autoSpaceDE/>
        <w:autoSpaceDN/>
        <w:bidi w:val="0"/>
        <w:adjustRightInd/>
        <w:snapToGrid/>
        <w:spacing w:line="360" w:lineRule="auto"/>
        <w:ind w:left="0" w:leftChars="0" w:firstLine="643"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b/>
          <w:bCs/>
          <w:kern w:val="2"/>
          <w:sz w:val="32"/>
          <w:szCs w:val="32"/>
          <w:highlight w:val="none"/>
          <w:lang w:val="en-US" w:eastAsia="zh-CN" w:bidi="ar-SA"/>
        </w:rPr>
        <w:t>满意度：</w:t>
      </w:r>
      <w:r>
        <w:rPr>
          <w:rFonts w:hint="eastAsia" w:ascii="仿宋" w:hAnsi="仿宋" w:eastAsia="仿宋" w:cs="仿宋"/>
          <w:kern w:val="2"/>
          <w:sz w:val="32"/>
          <w:szCs w:val="32"/>
          <w:highlight w:val="none"/>
          <w:lang w:val="en-US" w:eastAsia="zh-CN" w:bidi="ar-SA"/>
        </w:rPr>
        <w:t>社会公众满意度90%以上。</w:t>
      </w:r>
    </w:p>
    <w:p>
      <w:pPr>
        <w:keepNext w:val="0"/>
        <w:keepLines w:val="0"/>
        <w:pageBreakBefore w:val="0"/>
        <w:widowControl w:val="0"/>
        <w:shd w:val="clear"/>
        <w:kinsoku/>
        <w:wordWrap/>
        <w:overflowPunct/>
        <w:topLinePunct w:val="0"/>
        <w:autoSpaceDE/>
        <w:autoSpaceDN/>
        <w:bidi w:val="0"/>
        <w:adjustRightInd/>
        <w:snapToGrid/>
        <w:spacing w:line="360" w:lineRule="auto"/>
        <w:ind w:left="0" w:leftChars="0" w:firstLine="643" w:firstLineChars="200"/>
        <w:textAlignment w:val="auto"/>
        <w:outlineLvl w:val="1"/>
        <w:rPr>
          <w:rFonts w:hint="eastAsia" w:ascii="楷体" w:hAnsi="楷体" w:eastAsia="楷体" w:cs="楷体"/>
          <w:b/>
          <w:bCs/>
          <w:sz w:val="32"/>
          <w:szCs w:val="32"/>
          <w:highlight w:val="none"/>
          <w:lang w:val="en-US" w:eastAsia="zh-CN"/>
        </w:rPr>
      </w:pPr>
      <w:r>
        <w:rPr>
          <w:rFonts w:hint="eastAsia" w:ascii="楷体" w:hAnsi="楷体" w:eastAsia="楷体" w:cs="楷体"/>
          <w:b/>
          <w:bCs/>
          <w:sz w:val="32"/>
          <w:szCs w:val="32"/>
          <w:highlight w:val="none"/>
          <w:lang w:val="en-US" w:eastAsia="zh-CN"/>
        </w:rPr>
        <w:t>（六）项目建设目标完成情况</w:t>
      </w:r>
      <w:bookmarkEnd w:id="10"/>
    </w:p>
    <w:p>
      <w:pPr>
        <w:keepNext w:val="0"/>
        <w:keepLines w:val="0"/>
        <w:pageBreakBefore w:val="0"/>
        <w:widowControl w:val="0"/>
        <w:shd w:val="clear"/>
        <w:kinsoku/>
        <w:wordWrap/>
        <w:overflowPunct/>
        <w:topLinePunct w:val="0"/>
        <w:autoSpaceDE/>
        <w:autoSpaceDN/>
        <w:bidi w:val="0"/>
        <w:adjustRightInd/>
        <w:snapToGrid/>
        <w:spacing w:line="360" w:lineRule="auto"/>
        <w:ind w:left="0" w:leftChars="0"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按照可研报告、立项批复通知等文件，本项目产出目标（建设内容）为建设标准厂房及配套设施建筑，并配套景观绿化、给排水、强弱电等，完成三通一平等土地一级开发工作。现场评价时项目已按时、按质完成征地拆迁工作，完成配电工程，完成了以下主体建筑和配套建筑工程，并经项目各相关方质量验收合格：1#厂房 、2#厂房、3#厂房、5#厂房（扩建）、联合厂房、配电房4间（1大3小）、空压间、垃圾间、污水处理间、门卫室2间（南、西各1间）、食堂、消防水池2个、物流通道（钢结构顶棚）、绿化带、厂区道路。厂房等全部已移交三一专用汽车有限公司使用。</w:t>
      </w:r>
    </w:p>
    <w:p>
      <w:pPr>
        <w:keepNext w:val="0"/>
        <w:keepLines w:val="0"/>
        <w:pageBreakBefore w:val="0"/>
        <w:widowControl w:val="0"/>
        <w:shd w:val="clear"/>
        <w:kinsoku/>
        <w:wordWrap/>
        <w:overflowPunct/>
        <w:topLinePunct w:val="0"/>
        <w:autoSpaceDE/>
        <w:autoSpaceDN/>
        <w:bidi w:val="0"/>
        <w:adjustRightInd/>
        <w:snapToGrid/>
        <w:spacing w:line="360" w:lineRule="auto"/>
        <w:ind w:left="0" w:leftChars="0" w:firstLine="633" w:firstLineChars="198"/>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项目的实施极大的提高了三一专汽公司的产值：2020年年产值由原来的50亿元提升至年产值100亿元，2021年产值147.15亿元。项目建设带动了地区相关产业发展并创造大量的就业机会，对地区经济发展起到巨大的推动作用，有利于社会稳定和经济的可持续发展。群众满意度94%。</w:t>
      </w:r>
      <w:r>
        <w:rPr>
          <w:rFonts w:hint="eastAsia" w:ascii="仿宋" w:hAnsi="仿宋" w:eastAsia="仿宋" w:cs="仿宋"/>
          <w:sz w:val="32"/>
          <w:szCs w:val="32"/>
          <w:highlight w:val="none"/>
          <w:lang w:val="en-US" w:eastAsia="zh-CN"/>
        </w:rPr>
        <w:tab/>
      </w:r>
    </w:p>
    <w:p>
      <w:pPr>
        <w:keepNext w:val="0"/>
        <w:keepLines w:val="0"/>
        <w:pageBreakBefore w:val="0"/>
        <w:widowControl w:val="0"/>
        <w:shd w:val="clear"/>
        <w:kinsoku/>
        <w:wordWrap/>
        <w:overflowPunct/>
        <w:topLinePunct w:val="0"/>
        <w:autoSpaceDE/>
        <w:autoSpaceDN/>
        <w:bidi w:val="0"/>
        <w:adjustRightInd/>
        <w:snapToGrid/>
        <w:spacing w:line="360" w:lineRule="auto"/>
        <w:ind w:left="0" w:leftChars="0" w:firstLine="640" w:firstLineChars="200"/>
        <w:textAlignment w:val="auto"/>
        <w:outlineLvl w:val="0"/>
        <w:rPr>
          <w:rFonts w:hint="eastAsia" w:ascii="黑体" w:hAnsi="黑体" w:eastAsia="黑体" w:cs="黑体"/>
          <w:kern w:val="0"/>
          <w:sz w:val="32"/>
          <w:szCs w:val="32"/>
          <w:highlight w:val="none"/>
        </w:rPr>
      </w:pPr>
      <w:bookmarkStart w:id="11" w:name="_Toc29252"/>
      <w:r>
        <w:rPr>
          <w:rFonts w:hint="eastAsia" w:ascii="黑体" w:hAnsi="黑体" w:eastAsia="黑体" w:cs="黑体"/>
          <w:kern w:val="0"/>
          <w:sz w:val="32"/>
          <w:szCs w:val="32"/>
          <w:highlight w:val="none"/>
          <w:lang w:eastAsia="zh-CN"/>
        </w:rPr>
        <w:t>二</w:t>
      </w:r>
      <w:r>
        <w:rPr>
          <w:rFonts w:hint="eastAsia" w:ascii="黑体" w:hAnsi="黑体" w:eastAsia="黑体" w:cs="黑体"/>
          <w:kern w:val="0"/>
          <w:sz w:val="32"/>
          <w:szCs w:val="32"/>
          <w:highlight w:val="none"/>
        </w:rPr>
        <w:t>、绩效评价工作情况</w:t>
      </w:r>
      <w:bookmarkEnd w:id="11"/>
    </w:p>
    <w:p>
      <w:pPr>
        <w:keepNext w:val="0"/>
        <w:keepLines w:val="0"/>
        <w:pageBreakBefore w:val="0"/>
        <w:widowControl w:val="0"/>
        <w:shd w:val="clear"/>
        <w:kinsoku/>
        <w:wordWrap/>
        <w:overflowPunct/>
        <w:topLinePunct w:val="0"/>
        <w:autoSpaceDE/>
        <w:autoSpaceDN/>
        <w:bidi w:val="0"/>
        <w:adjustRightInd/>
        <w:snapToGrid/>
        <w:spacing w:line="360" w:lineRule="auto"/>
        <w:ind w:left="0" w:leftChars="0" w:firstLine="643" w:firstLineChars="200"/>
        <w:textAlignment w:val="auto"/>
        <w:outlineLvl w:val="1"/>
        <w:rPr>
          <w:rFonts w:hint="eastAsia" w:ascii="楷体" w:hAnsi="楷体" w:eastAsia="楷体" w:cs="楷体"/>
          <w:b/>
          <w:color w:val="000000"/>
          <w:sz w:val="32"/>
          <w:szCs w:val="32"/>
          <w:highlight w:val="none"/>
          <w:shd w:val="clear" w:color="auto" w:fill="FFFFFF"/>
          <w:lang w:eastAsia="zh-CN"/>
        </w:rPr>
      </w:pPr>
      <w:bookmarkStart w:id="12" w:name="_Toc30830"/>
      <w:r>
        <w:rPr>
          <w:rFonts w:hint="eastAsia" w:ascii="楷体" w:hAnsi="楷体" w:eastAsia="楷体" w:cs="楷体"/>
          <w:b/>
          <w:color w:val="000000"/>
          <w:sz w:val="32"/>
          <w:szCs w:val="32"/>
          <w:highlight w:val="none"/>
          <w:shd w:val="clear" w:color="auto" w:fill="FFFFFF"/>
          <w:lang w:eastAsia="zh-CN"/>
        </w:rPr>
        <w:t>（一）绩效评价目的</w:t>
      </w:r>
      <w:bookmarkEnd w:id="12"/>
    </w:p>
    <w:p>
      <w:pPr>
        <w:keepNext w:val="0"/>
        <w:keepLines w:val="0"/>
        <w:pageBreakBefore w:val="0"/>
        <w:widowControl w:val="0"/>
        <w:shd w:val="clear"/>
        <w:kinsoku/>
        <w:wordWrap/>
        <w:overflowPunct/>
        <w:topLinePunct w:val="0"/>
        <w:autoSpaceDE/>
        <w:autoSpaceDN/>
        <w:bidi w:val="0"/>
        <w:adjustRightInd/>
        <w:snapToGrid/>
        <w:spacing w:line="360" w:lineRule="auto"/>
        <w:ind w:left="0" w:leftChars="0" w:firstLine="640" w:firstLineChars="200"/>
        <w:textAlignment w:val="auto"/>
        <w:rPr>
          <w:rFonts w:hint="eastAsia" w:ascii="仿宋" w:hAnsi="仿宋" w:eastAsia="仿宋" w:cs="仿宋"/>
          <w:color w:val="000000"/>
          <w:sz w:val="32"/>
          <w:szCs w:val="32"/>
          <w:highlight w:val="none"/>
          <w:shd w:val="clear" w:color="auto" w:fill="FFFFFF"/>
        </w:rPr>
      </w:pPr>
      <w:r>
        <w:rPr>
          <w:rFonts w:hint="eastAsia" w:ascii="仿宋" w:hAnsi="仿宋" w:eastAsia="仿宋" w:cs="仿宋"/>
          <w:color w:val="000000"/>
          <w:sz w:val="32"/>
          <w:szCs w:val="32"/>
          <w:highlight w:val="none"/>
          <w:shd w:val="clear" w:color="auto" w:fill="FFFFFF"/>
        </w:rPr>
        <w:t>通过全面分析和综合评</w:t>
      </w:r>
      <w:r>
        <w:rPr>
          <w:rFonts w:hint="eastAsia" w:ascii="仿宋" w:hAnsi="仿宋" w:eastAsia="仿宋" w:cs="仿宋"/>
          <w:spacing w:val="-8"/>
          <w:sz w:val="32"/>
          <w:szCs w:val="32"/>
          <w:highlight w:val="none"/>
          <w:lang w:eastAsia="zh-CN"/>
        </w:rPr>
        <w:t>邵阳经开区配套区公共基础设施项目专项</w:t>
      </w:r>
      <w:r>
        <w:rPr>
          <w:rFonts w:hint="eastAsia" w:ascii="仿宋" w:hAnsi="仿宋" w:eastAsia="仿宋" w:cs="仿宋"/>
          <w:sz w:val="32"/>
          <w:szCs w:val="32"/>
          <w:highlight w:val="none"/>
          <w:lang w:val="en-US" w:eastAsia="zh-CN"/>
        </w:rPr>
        <w:t>资金</w:t>
      </w:r>
      <w:r>
        <w:rPr>
          <w:rFonts w:hint="eastAsia" w:ascii="仿宋" w:hAnsi="仿宋" w:eastAsia="仿宋" w:cs="仿宋"/>
          <w:color w:val="000000"/>
          <w:sz w:val="32"/>
          <w:szCs w:val="32"/>
          <w:highlight w:val="none"/>
          <w:shd w:val="clear" w:color="auto" w:fill="FFFFFF"/>
        </w:rPr>
        <w:t>的分配使用情况，了解项目的申报、审批、组织实施及事后监督情况</w:t>
      </w:r>
      <w:r>
        <w:rPr>
          <w:rFonts w:hint="eastAsia" w:ascii="仿宋" w:hAnsi="仿宋" w:eastAsia="仿宋" w:cs="仿宋"/>
          <w:color w:val="000000"/>
          <w:sz w:val="32"/>
          <w:szCs w:val="32"/>
          <w:highlight w:val="none"/>
          <w:shd w:val="clear" w:color="auto" w:fill="FFFFFF"/>
          <w:lang w:eastAsia="zh-CN"/>
        </w:rPr>
        <w:t>，</w:t>
      </w:r>
      <w:r>
        <w:rPr>
          <w:rFonts w:hint="eastAsia" w:ascii="仿宋" w:hAnsi="仿宋" w:eastAsia="仿宋" w:cs="仿宋"/>
          <w:color w:val="000000"/>
          <w:sz w:val="32"/>
          <w:szCs w:val="32"/>
          <w:highlight w:val="none"/>
          <w:shd w:val="clear" w:color="auto" w:fill="FFFFFF"/>
        </w:rPr>
        <w:t>为进一步管理和使用好</w:t>
      </w:r>
      <w:r>
        <w:rPr>
          <w:rFonts w:hint="eastAsia" w:ascii="仿宋" w:hAnsi="仿宋" w:eastAsia="仿宋" w:cs="仿宋"/>
          <w:sz w:val="32"/>
          <w:szCs w:val="32"/>
          <w:highlight w:val="none"/>
          <w:lang w:val="en-US" w:eastAsia="zh-CN"/>
        </w:rPr>
        <w:t>建设资金使</w:t>
      </w:r>
      <w:r>
        <w:rPr>
          <w:rFonts w:hint="eastAsia" w:ascii="仿宋" w:hAnsi="仿宋" w:eastAsia="仿宋" w:cs="仿宋"/>
          <w:color w:val="000000"/>
          <w:sz w:val="32"/>
          <w:szCs w:val="32"/>
          <w:highlight w:val="none"/>
          <w:shd w:val="clear" w:color="auto" w:fill="FFFFFF"/>
        </w:rPr>
        <w:t>用效益和项目管理水平，</w:t>
      </w:r>
      <w:r>
        <w:rPr>
          <w:rFonts w:hint="eastAsia" w:ascii="仿宋" w:hAnsi="仿宋" w:eastAsia="仿宋" w:cs="仿宋"/>
          <w:color w:val="000000"/>
          <w:sz w:val="32"/>
          <w:szCs w:val="32"/>
          <w:highlight w:val="none"/>
          <w:shd w:val="clear" w:color="auto" w:fill="FFFFFF"/>
          <w:lang w:val="en-US" w:eastAsia="zh-CN"/>
        </w:rPr>
        <w:t>总结项目管理经验，发现资金管理及项目实施管理存在的问题，</w:t>
      </w:r>
      <w:r>
        <w:rPr>
          <w:rFonts w:hint="eastAsia" w:ascii="仿宋" w:hAnsi="仿宋" w:eastAsia="仿宋" w:cs="仿宋"/>
          <w:color w:val="000000"/>
          <w:sz w:val="32"/>
          <w:szCs w:val="32"/>
          <w:highlight w:val="none"/>
          <w:shd w:val="clear" w:color="auto" w:fill="FFFFFF"/>
          <w:lang w:eastAsia="zh-CN"/>
        </w:rPr>
        <w:t>为以后资金管理和分配安排提供参考依据</w:t>
      </w:r>
      <w:r>
        <w:rPr>
          <w:rFonts w:hint="eastAsia" w:ascii="仿宋" w:hAnsi="仿宋" w:eastAsia="仿宋" w:cs="仿宋"/>
          <w:color w:val="000000"/>
          <w:sz w:val="32"/>
          <w:szCs w:val="32"/>
          <w:highlight w:val="none"/>
          <w:shd w:val="clear" w:color="auto" w:fill="FFFFFF"/>
        </w:rPr>
        <w:t>。</w:t>
      </w:r>
    </w:p>
    <w:p>
      <w:pPr>
        <w:keepNext w:val="0"/>
        <w:keepLines w:val="0"/>
        <w:pageBreakBefore w:val="0"/>
        <w:widowControl w:val="0"/>
        <w:numPr>
          <w:ilvl w:val="0"/>
          <w:numId w:val="1"/>
        </w:numPr>
        <w:shd w:val="clear"/>
        <w:kinsoku/>
        <w:wordWrap/>
        <w:overflowPunct/>
        <w:topLinePunct w:val="0"/>
        <w:autoSpaceDE/>
        <w:autoSpaceDN/>
        <w:bidi w:val="0"/>
        <w:adjustRightInd/>
        <w:snapToGrid/>
        <w:spacing w:line="360" w:lineRule="auto"/>
        <w:ind w:left="0" w:leftChars="0" w:firstLine="643" w:firstLineChars="200"/>
        <w:textAlignment w:val="auto"/>
        <w:outlineLvl w:val="1"/>
        <w:rPr>
          <w:rFonts w:hint="eastAsia" w:ascii="楷体" w:hAnsi="楷体" w:eastAsia="楷体" w:cs="楷体"/>
          <w:b/>
          <w:color w:val="000000"/>
          <w:sz w:val="32"/>
          <w:szCs w:val="32"/>
          <w:highlight w:val="none"/>
          <w:shd w:val="clear" w:color="auto" w:fill="FFFFFF"/>
          <w:lang w:eastAsia="zh-CN"/>
        </w:rPr>
      </w:pPr>
      <w:bookmarkStart w:id="13" w:name="_Toc26254"/>
      <w:r>
        <w:rPr>
          <w:rFonts w:hint="eastAsia" w:ascii="楷体" w:hAnsi="楷体" w:eastAsia="楷体" w:cs="楷体"/>
          <w:b/>
          <w:color w:val="000000"/>
          <w:sz w:val="32"/>
          <w:szCs w:val="32"/>
          <w:highlight w:val="none"/>
          <w:shd w:val="clear" w:color="auto" w:fill="FFFFFF"/>
          <w:lang w:eastAsia="zh-CN"/>
        </w:rPr>
        <w:t>绩效评价原则、评价指标体系、评价方法</w:t>
      </w:r>
      <w:bookmarkEnd w:id="13"/>
    </w:p>
    <w:p>
      <w:pPr>
        <w:keepNext w:val="0"/>
        <w:keepLines w:val="0"/>
        <w:pageBreakBefore w:val="0"/>
        <w:widowControl w:val="0"/>
        <w:shd w:val="clear"/>
        <w:kinsoku/>
        <w:wordWrap/>
        <w:overflowPunct/>
        <w:topLinePunct w:val="0"/>
        <w:autoSpaceDE/>
        <w:autoSpaceDN/>
        <w:bidi w:val="0"/>
        <w:adjustRightInd/>
        <w:snapToGrid/>
        <w:spacing w:line="360" w:lineRule="auto"/>
        <w:ind w:left="0" w:leftChars="0" w:firstLine="640" w:firstLineChars="200"/>
        <w:textAlignment w:val="auto"/>
        <w:rPr>
          <w:rFonts w:hint="eastAsia" w:ascii="仿宋" w:hAnsi="仿宋" w:eastAsia="仿宋" w:cs="仿宋"/>
          <w:sz w:val="32"/>
          <w:szCs w:val="32"/>
          <w:highlight w:val="none"/>
        </w:rPr>
      </w:pPr>
      <w:r>
        <w:rPr>
          <w:rFonts w:hint="eastAsia" w:ascii="仿宋" w:hAnsi="仿宋" w:eastAsia="仿宋" w:cs="仿宋"/>
          <w:sz w:val="32"/>
          <w:szCs w:val="32"/>
          <w:highlight w:val="none"/>
        </w:rPr>
        <w:t>1</w:t>
      </w:r>
      <w:r>
        <w:rPr>
          <w:rFonts w:hint="eastAsia" w:ascii="仿宋" w:hAnsi="仿宋" w:eastAsia="仿宋" w:cs="仿宋"/>
          <w:sz w:val="32"/>
          <w:szCs w:val="32"/>
          <w:highlight w:val="none"/>
          <w:lang w:val="en-US" w:eastAsia="zh-CN"/>
        </w:rPr>
        <w:t>.</w:t>
      </w:r>
      <w:r>
        <w:rPr>
          <w:rFonts w:hint="eastAsia" w:ascii="仿宋" w:hAnsi="仿宋" w:eastAsia="仿宋" w:cs="仿宋"/>
          <w:sz w:val="32"/>
          <w:szCs w:val="32"/>
          <w:highlight w:val="none"/>
        </w:rPr>
        <w:t>本次绩效评价工作按照《中华人民共和国预算法》、《财政支出绩效评价管理暂行办法》、《湖南省财政厅关于深度整合规范省级专项资金的通知》（湘财预〔2016〕87号）</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rPr>
        <w:t>湖南省财政厅关于印发《湖南省预算支出绩效评价管理办法》的通知</w:t>
      </w:r>
      <w:r>
        <w:rPr>
          <w:rFonts w:hint="eastAsia" w:ascii="仿宋" w:hAnsi="仿宋" w:eastAsia="仿宋" w:cs="仿宋"/>
          <w:sz w:val="32"/>
          <w:szCs w:val="32"/>
          <w:highlight w:val="none"/>
          <w:lang w:eastAsia="zh-CN"/>
        </w:rPr>
        <w:t>（湘财绩〔2020〕7号）</w:t>
      </w:r>
      <w:r>
        <w:rPr>
          <w:rFonts w:hint="eastAsia" w:ascii="仿宋" w:hAnsi="仿宋" w:eastAsia="仿宋" w:cs="仿宋"/>
          <w:sz w:val="32"/>
          <w:szCs w:val="32"/>
          <w:highlight w:val="none"/>
        </w:rPr>
        <w:t>以及有关的政策、规定、财务会计制度等，坚持实事求是、客观公正的原则。</w:t>
      </w:r>
    </w:p>
    <w:p>
      <w:pPr>
        <w:keepNext w:val="0"/>
        <w:keepLines w:val="0"/>
        <w:pageBreakBefore w:val="0"/>
        <w:widowControl w:val="0"/>
        <w:shd w:val="clear"/>
        <w:kinsoku/>
        <w:wordWrap/>
        <w:overflowPunct/>
        <w:topLinePunct w:val="0"/>
        <w:autoSpaceDE/>
        <w:autoSpaceDN/>
        <w:bidi w:val="0"/>
        <w:adjustRightInd/>
        <w:snapToGrid/>
        <w:spacing w:line="360" w:lineRule="auto"/>
        <w:ind w:left="0" w:leftChars="0" w:firstLine="640" w:firstLineChars="200"/>
        <w:textAlignment w:val="auto"/>
        <w:rPr>
          <w:rFonts w:hint="eastAsia" w:ascii="仿宋" w:hAnsi="仿宋" w:eastAsia="仿宋" w:cs="仿宋"/>
          <w:sz w:val="32"/>
          <w:szCs w:val="32"/>
          <w:highlight w:val="none"/>
        </w:rPr>
      </w:pPr>
      <w:r>
        <w:rPr>
          <w:rFonts w:hint="eastAsia" w:ascii="仿宋" w:hAnsi="仿宋" w:eastAsia="仿宋" w:cs="仿宋"/>
          <w:sz w:val="32"/>
          <w:szCs w:val="32"/>
          <w:highlight w:val="none"/>
        </w:rPr>
        <w:t>2</w:t>
      </w:r>
      <w:r>
        <w:rPr>
          <w:rFonts w:hint="eastAsia" w:ascii="仿宋" w:hAnsi="仿宋" w:eastAsia="仿宋" w:cs="仿宋"/>
          <w:sz w:val="32"/>
          <w:szCs w:val="32"/>
          <w:highlight w:val="none"/>
          <w:lang w:val="en-US" w:eastAsia="zh-CN"/>
        </w:rPr>
        <w:t>.</w:t>
      </w:r>
      <w:r>
        <w:rPr>
          <w:rFonts w:hint="eastAsia" w:ascii="仿宋" w:hAnsi="仿宋" w:eastAsia="仿宋" w:cs="仿宋"/>
          <w:sz w:val="32"/>
          <w:szCs w:val="32"/>
          <w:highlight w:val="none"/>
        </w:rPr>
        <w:t>本次绩效评价工作制定了准确、合理、细致的三级绩效评价指标体系，包括</w:t>
      </w:r>
      <w:r>
        <w:rPr>
          <w:rFonts w:hint="eastAsia" w:ascii="仿宋" w:hAnsi="仿宋" w:eastAsia="仿宋" w:cs="仿宋"/>
          <w:sz w:val="32"/>
          <w:szCs w:val="32"/>
          <w:highlight w:val="none"/>
          <w:lang w:eastAsia="zh-CN"/>
        </w:rPr>
        <w:t>项目决策、过程、产出、</w:t>
      </w:r>
      <w:r>
        <w:rPr>
          <w:rFonts w:hint="eastAsia" w:ascii="仿宋" w:hAnsi="仿宋" w:eastAsia="仿宋" w:cs="仿宋"/>
          <w:sz w:val="32"/>
          <w:szCs w:val="32"/>
          <w:highlight w:val="none"/>
          <w:lang w:val="en-US" w:eastAsia="zh-CN"/>
        </w:rPr>
        <w:t>效果</w:t>
      </w:r>
      <w:r>
        <w:rPr>
          <w:rFonts w:hint="eastAsia" w:ascii="仿宋" w:hAnsi="仿宋" w:eastAsia="仿宋" w:cs="仿宋"/>
          <w:sz w:val="32"/>
          <w:szCs w:val="32"/>
          <w:highlight w:val="none"/>
          <w:lang w:eastAsia="zh-CN"/>
        </w:rPr>
        <w:t>的</w:t>
      </w:r>
      <w:r>
        <w:rPr>
          <w:rFonts w:hint="eastAsia" w:ascii="仿宋" w:hAnsi="仿宋" w:eastAsia="仿宋" w:cs="仿宋"/>
          <w:sz w:val="32"/>
          <w:szCs w:val="32"/>
          <w:highlight w:val="none"/>
        </w:rPr>
        <w:t>评价指标，</w:t>
      </w:r>
      <w:r>
        <w:rPr>
          <w:rFonts w:hint="eastAsia" w:ascii="仿宋" w:hAnsi="仿宋" w:eastAsia="仿宋" w:cs="仿宋"/>
          <w:sz w:val="32"/>
          <w:szCs w:val="32"/>
          <w:highlight w:val="none"/>
          <w:lang w:val="en-US" w:eastAsia="zh-CN"/>
        </w:rPr>
        <w:t>满分100分。绩效评价结果分为四个等级：90分（含）—100分为优，80分（含）—90分为良，60分（含）—80分为较差，60分以下为差。</w:t>
      </w:r>
      <w:r>
        <w:rPr>
          <w:rFonts w:hint="eastAsia" w:ascii="仿宋" w:hAnsi="仿宋" w:eastAsia="仿宋" w:cs="仿宋"/>
          <w:sz w:val="32"/>
          <w:szCs w:val="32"/>
          <w:highlight w:val="none"/>
        </w:rPr>
        <w:t>采用查阅资料、实地查看、问卷调查和听取情况介绍等方法进行。</w:t>
      </w:r>
    </w:p>
    <w:p>
      <w:pPr>
        <w:keepNext w:val="0"/>
        <w:keepLines w:val="0"/>
        <w:pageBreakBefore w:val="0"/>
        <w:widowControl w:val="0"/>
        <w:shd w:val="clear"/>
        <w:kinsoku/>
        <w:wordWrap/>
        <w:overflowPunct/>
        <w:topLinePunct w:val="0"/>
        <w:autoSpaceDE/>
        <w:autoSpaceDN/>
        <w:bidi w:val="0"/>
        <w:adjustRightInd/>
        <w:snapToGrid/>
        <w:spacing w:line="360" w:lineRule="auto"/>
        <w:ind w:left="0" w:leftChars="0" w:firstLine="640" w:firstLineChars="200"/>
        <w:textAlignment w:val="auto"/>
        <w:outlineLvl w:val="0"/>
        <w:rPr>
          <w:rFonts w:hint="eastAsia" w:ascii="黑体" w:hAnsi="黑体" w:eastAsia="黑体" w:cs="黑体"/>
          <w:kern w:val="0"/>
          <w:sz w:val="32"/>
          <w:szCs w:val="32"/>
          <w:highlight w:val="none"/>
          <w:lang w:eastAsia="zh-CN"/>
        </w:rPr>
      </w:pPr>
      <w:bookmarkStart w:id="14" w:name="_Toc7615"/>
      <w:r>
        <w:rPr>
          <w:rFonts w:hint="eastAsia" w:ascii="黑体" w:hAnsi="黑体" w:eastAsia="黑体" w:cs="黑体"/>
          <w:kern w:val="0"/>
          <w:sz w:val="32"/>
          <w:szCs w:val="32"/>
          <w:highlight w:val="none"/>
          <w:lang w:eastAsia="zh-CN"/>
        </w:rPr>
        <w:t>三</w:t>
      </w:r>
      <w:r>
        <w:rPr>
          <w:rFonts w:hint="eastAsia" w:ascii="黑体" w:hAnsi="黑体" w:eastAsia="黑体" w:cs="黑体"/>
          <w:kern w:val="0"/>
          <w:sz w:val="32"/>
          <w:szCs w:val="32"/>
          <w:highlight w:val="none"/>
        </w:rPr>
        <w:t>、</w:t>
      </w:r>
      <w:r>
        <w:rPr>
          <w:rFonts w:hint="eastAsia" w:ascii="黑体" w:hAnsi="黑体" w:eastAsia="黑体" w:cs="黑体"/>
          <w:kern w:val="0"/>
          <w:sz w:val="32"/>
          <w:szCs w:val="32"/>
          <w:highlight w:val="none"/>
          <w:lang w:eastAsia="zh-CN"/>
        </w:rPr>
        <w:t>主要绩效及评价结论</w:t>
      </w:r>
      <w:bookmarkEnd w:id="14"/>
    </w:p>
    <w:p>
      <w:pPr>
        <w:keepNext w:val="0"/>
        <w:keepLines w:val="0"/>
        <w:pageBreakBefore w:val="0"/>
        <w:widowControl w:val="0"/>
        <w:shd w:val="clear"/>
        <w:kinsoku/>
        <w:wordWrap/>
        <w:overflowPunct/>
        <w:topLinePunct w:val="0"/>
        <w:autoSpaceDE/>
        <w:autoSpaceDN/>
        <w:bidi w:val="0"/>
        <w:adjustRightInd/>
        <w:snapToGrid/>
        <w:spacing w:line="360" w:lineRule="auto"/>
        <w:ind w:left="0" w:leftChars="0" w:firstLine="608"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pacing w:val="-8"/>
          <w:sz w:val="32"/>
          <w:szCs w:val="32"/>
          <w:highlight w:val="none"/>
          <w:lang w:eastAsia="zh-CN"/>
        </w:rPr>
        <w:t>目前本项目建筑工程、配电工程及配套设施已竣工，标准厂房等已移交三一专汽公司投入使用</w:t>
      </w:r>
      <w:r>
        <w:rPr>
          <w:rFonts w:hint="eastAsia" w:ascii="仿宋" w:hAnsi="仿宋" w:eastAsia="仿宋" w:cs="仿宋"/>
          <w:sz w:val="32"/>
          <w:szCs w:val="32"/>
          <w:highlight w:val="none"/>
          <w:lang w:val="en-US" w:eastAsia="zh-CN"/>
        </w:rPr>
        <w:t>。项目建设符合国家产业政策和投资政策，项目的实施，在提高邵阳经济总量、形成产业聚集效应、促进社会就业、培养本地人才等方面发挥积极作用。</w:t>
      </w:r>
    </w:p>
    <w:p>
      <w:pPr>
        <w:keepNext w:val="0"/>
        <w:keepLines w:val="0"/>
        <w:pageBreakBefore w:val="0"/>
        <w:widowControl w:val="0"/>
        <w:shd w:val="clear"/>
        <w:kinsoku/>
        <w:wordWrap/>
        <w:overflowPunct/>
        <w:topLinePunct w:val="0"/>
        <w:autoSpaceDE/>
        <w:autoSpaceDN/>
        <w:bidi w:val="0"/>
        <w:adjustRightInd/>
        <w:snapToGrid/>
        <w:spacing w:line="360" w:lineRule="auto"/>
        <w:ind w:left="0" w:leftChars="0"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根据《邵阳经开区配套区公共基础设施项目专项资金绩效评价指标表》评分体系，经绩效评价组现场调查审核，会议讨论分析，集体打分，共计得分83.6分，评价等级为“良”（详见附表和绩效评价指标评分过程情况说明）。</w:t>
      </w:r>
    </w:p>
    <w:p>
      <w:pPr>
        <w:keepNext w:val="0"/>
        <w:keepLines w:val="0"/>
        <w:pageBreakBefore w:val="0"/>
        <w:widowControl w:val="0"/>
        <w:shd w:val="clear"/>
        <w:kinsoku/>
        <w:wordWrap/>
        <w:overflowPunct/>
        <w:topLinePunct w:val="0"/>
        <w:autoSpaceDE/>
        <w:autoSpaceDN/>
        <w:bidi w:val="0"/>
        <w:adjustRightInd/>
        <w:snapToGrid/>
        <w:spacing w:line="360" w:lineRule="auto"/>
        <w:ind w:left="0" w:leftChars="0" w:firstLine="640" w:firstLineChars="200"/>
        <w:textAlignment w:val="auto"/>
        <w:outlineLvl w:val="0"/>
        <w:rPr>
          <w:rFonts w:hint="eastAsia" w:ascii="黑体" w:hAnsi="黑体" w:eastAsia="黑体" w:cs="黑体"/>
          <w:kern w:val="0"/>
          <w:sz w:val="32"/>
          <w:szCs w:val="32"/>
          <w:highlight w:val="none"/>
          <w:lang w:eastAsia="zh-CN"/>
        </w:rPr>
      </w:pPr>
      <w:bookmarkStart w:id="15" w:name="_Toc27541"/>
      <w:r>
        <w:rPr>
          <w:rFonts w:hint="eastAsia" w:ascii="黑体" w:hAnsi="黑体" w:eastAsia="黑体" w:cs="黑体"/>
          <w:kern w:val="0"/>
          <w:sz w:val="32"/>
          <w:szCs w:val="32"/>
          <w:highlight w:val="none"/>
          <w:lang w:eastAsia="zh-CN"/>
        </w:rPr>
        <w:t>四</w:t>
      </w:r>
      <w:r>
        <w:rPr>
          <w:rFonts w:hint="eastAsia" w:ascii="黑体" w:hAnsi="黑体" w:eastAsia="黑体" w:cs="黑体"/>
          <w:kern w:val="0"/>
          <w:sz w:val="32"/>
          <w:szCs w:val="32"/>
          <w:highlight w:val="none"/>
        </w:rPr>
        <w:t>、</w:t>
      </w:r>
      <w:r>
        <w:rPr>
          <w:rFonts w:hint="eastAsia" w:ascii="黑体" w:hAnsi="黑体" w:eastAsia="黑体" w:cs="黑体"/>
          <w:kern w:val="0"/>
          <w:sz w:val="32"/>
          <w:szCs w:val="32"/>
          <w:highlight w:val="none"/>
          <w:lang w:eastAsia="zh-CN"/>
        </w:rPr>
        <w:t>绩效评价指标分析</w:t>
      </w:r>
      <w:bookmarkEnd w:id="15"/>
    </w:p>
    <w:p>
      <w:pPr>
        <w:keepNext w:val="0"/>
        <w:keepLines w:val="0"/>
        <w:pageBreakBefore w:val="0"/>
        <w:widowControl w:val="0"/>
        <w:shd w:val="clear"/>
        <w:kinsoku/>
        <w:wordWrap/>
        <w:overflowPunct/>
        <w:topLinePunct w:val="0"/>
        <w:autoSpaceDE/>
        <w:autoSpaceDN/>
        <w:bidi w:val="0"/>
        <w:adjustRightInd/>
        <w:snapToGrid/>
        <w:spacing w:line="360" w:lineRule="auto"/>
        <w:ind w:left="0" w:leftChars="0" w:firstLine="608" w:firstLineChars="200"/>
        <w:textAlignment w:val="auto"/>
        <w:outlineLvl w:val="1"/>
        <w:rPr>
          <w:rFonts w:hint="eastAsia" w:ascii="仿宋" w:hAnsi="仿宋" w:eastAsia="仿宋" w:cs="仿宋"/>
          <w:b w:val="0"/>
          <w:bCs w:val="0"/>
          <w:sz w:val="32"/>
          <w:szCs w:val="32"/>
          <w:highlight w:val="none"/>
          <w:lang w:val="en-US" w:eastAsia="zh-CN"/>
        </w:rPr>
      </w:pPr>
      <w:bookmarkStart w:id="16" w:name="_Toc26560"/>
      <w:r>
        <w:rPr>
          <w:rFonts w:hint="eastAsia" w:ascii="仿宋" w:hAnsi="仿宋" w:eastAsia="仿宋" w:cs="仿宋"/>
          <w:spacing w:val="-8"/>
          <w:sz w:val="32"/>
          <w:szCs w:val="32"/>
          <w:highlight w:val="none"/>
        </w:rPr>
        <w:t>项目评价指标按</w:t>
      </w:r>
      <w:r>
        <w:rPr>
          <w:rFonts w:hint="eastAsia" w:ascii="仿宋" w:hAnsi="仿宋" w:eastAsia="仿宋" w:cs="仿宋"/>
          <w:spacing w:val="-8"/>
          <w:sz w:val="32"/>
          <w:szCs w:val="32"/>
          <w:highlight w:val="none"/>
          <w:lang w:eastAsia="zh-CN"/>
        </w:rPr>
        <w:t>决策</w:t>
      </w:r>
      <w:r>
        <w:rPr>
          <w:rFonts w:hint="eastAsia" w:ascii="仿宋" w:hAnsi="仿宋" w:eastAsia="仿宋" w:cs="仿宋"/>
          <w:spacing w:val="-8"/>
          <w:sz w:val="32"/>
          <w:szCs w:val="32"/>
          <w:highlight w:val="none"/>
        </w:rPr>
        <w:t>、过程、产出</w:t>
      </w:r>
      <w:r>
        <w:rPr>
          <w:rFonts w:hint="eastAsia" w:ascii="仿宋" w:hAnsi="仿宋" w:eastAsia="仿宋" w:cs="仿宋"/>
          <w:spacing w:val="-8"/>
          <w:sz w:val="32"/>
          <w:szCs w:val="32"/>
          <w:highlight w:val="none"/>
          <w:lang w:val="en-US" w:eastAsia="zh-CN"/>
        </w:rPr>
        <w:t>与效益四</w:t>
      </w:r>
      <w:r>
        <w:rPr>
          <w:rFonts w:hint="eastAsia" w:ascii="仿宋" w:hAnsi="仿宋" w:eastAsia="仿宋" w:cs="仿宋"/>
          <w:spacing w:val="-8"/>
          <w:sz w:val="32"/>
          <w:szCs w:val="32"/>
          <w:highlight w:val="none"/>
        </w:rPr>
        <w:t>个方面以百分制集体打分方式进行具体细分评价</w:t>
      </w:r>
      <w:r>
        <w:rPr>
          <w:rFonts w:hint="eastAsia" w:ascii="仿宋" w:hAnsi="仿宋" w:eastAsia="仿宋" w:cs="仿宋"/>
          <w:spacing w:val="-8"/>
          <w:sz w:val="32"/>
          <w:szCs w:val="32"/>
          <w:highlight w:val="none"/>
          <w:lang w:eastAsia="zh-CN"/>
        </w:rPr>
        <w:t>，</w:t>
      </w:r>
      <w:r>
        <w:rPr>
          <w:rFonts w:hint="eastAsia" w:ascii="仿宋" w:hAnsi="仿宋" w:eastAsia="仿宋" w:cs="仿宋"/>
          <w:spacing w:val="-8"/>
          <w:sz w:val="32"/>
          <w:szCs w:val="32"/>
          <w:highlight w:val="none"/>
        </w:rPr>
        <w:t>其中：</w:t>
      </w:r>
      <w:r>
        <w:rPr>
          <w:rFonts w:hint="eastAsia" w:ascii="仿宋" w:hAnsi="仿宋" w:eastAsia="仿宋" w:cs="仿宋"/>
          <w:spacing w:val="-8"/>
          <w:sz w:val="32"/>
          <w:szCs w:val="32"/>
          <w:highlight w:val="none"/>
          <w:lang w:eastAsia="zh-CN"/>
        </w:rPr>
        <w:t>决策标准分</w:t>
      </w:r>
      <w:r>
        <w:rPr>
          <w:rFonts w:hint="eastAsia" w:ascii="仿宋" w:hAnsi="仿宋" w:eastAsia="仿宋" w:cs="仿宋"/>
          <w:spacing w:val="-8"/>
          <w:sz w:val="32"/>
          <w:szCs w:val="32"/>
          <w:highlight w:val="none"/>
          <w:lang w:val="en-US" w:eastAsia="zh-CN"/>
        </w:rPr>
        <w:t>10分、</w:t>
      </w:r>
      <w:r>
        <w:rPr>
          <w:rFonts w:hint="eastAsia" w:ascii="仿宋" w:hAnsi="仿宋" w:eastAsia="仿宋" w:cs="仿宋"/>
          <w:spacing w:val="-8"/>
          <w:sz w:val="32"/>
          <w:szCs w:val="32"/>
          <w:highlight w:val="none"/>
          <w:lang w:eastAsia="zh-CN"/>
        </w:rPr>
        <w:t>得</w:t>
      </w:r>
      <w:r>
        <w:rPr>
          <w:rFonts w:hint="eastAsia" w:ascii="仿宋" w:hAnsi="仿宋" w:eastAsia="仿宋" w:cs="仿宋"/>
          <w:spacing w:val="-8"/>
          <w:sz w:val="32"/>
          <w:szCs w:val="32"/>
          <w:highlight w:val="none"/>
        </w:rPr>
        <w:t>分</w:t>
      </w:r>
      <w:r>
        <w:rPr>
          <w:rFonts w:hint="eastAsia" w:ascii="仿宋" w:hAnsi="仿宋" w:eastAsia="仿宋" w:cs="仿宋"/>
          <w:spacing w:val="-8"/>
          <w:sz w:val="32"/>
          <w:szCs w:val="32"/>
          <w:highlight w:val="none"/>
          <w:lang w:val="en-US" w:eastAsia="zh-CN"/>
        </w:rPr>
        <w:t>8</w:t>
      </w:r>
      <w:r>
        <w:rPr>
          <w:rFonts w:hint="eastAsia" w:ascii="仿宋" w:hAnsi="仿宋" w:eastAsia="仿宋" w:cs="仿宋"/>
          <w:spacing w:val="-8"/>
          <w:sz w:val="32"/>
          <w:szCs w:val="32"/>
          <w:highlight w:val="none"/>
        </w:rPr>
        <w:t>分</w:t>
      </w:r>
      <w:r>
        <w:rPr>
          <w:rFonts w:hint="eastAsia" w:ascii="仿宋" w:hAnsi="仿宋" w:eastAsia="仿宋" w:cs="仿宋"/>
          <w:spacing w:val="-8"/>
          <w:sz w:val="32"/>
          <w:szCs w:val="32"/>
          <w:highlight w:val="none"/>
          <w:lang w:eastAsia="zh-CN"/>
        </w:rPr>
        <w:t>；</w:t>
      </w:r>
      <w:r>
        <w:rPr>
          <w:rFonts w:hint="eastAsia" w:ascii="仿宋" w:hAnsi="仿宋" w:eastAsia="仿宋" w:cs="仿宋"/>
          <w:spacing w:val="-8"/>
          <w:sz w:val="32"/>
          <w:szCs w:val="32"/>
          <w:highlight w:val="none"/>
          <w:lang w:val="en-US" w:eastAsia="zh-CN"/>
        </w:rPr>
        <w:t>过程标准分30分、得分22.6分</w:t>
      </w:r>
      <w:r>
        <w:rPr>
          <w:rFonts w:hint="eastAsia" w:ascii="仿宋" w:hAnsi="仿宋" w:eastAsia="仿宋" w:cs="仿宋"/>
          <w:spacing w:val="-8"/>
          <w:sz w:val="32"/>
          <w:szCs w:val="32"/>
          <w:highlight w:val="none"/>
          <w:lang w:eastAsia="zh-CN"/>
        </w:rPr>
        <w:t>；</w:t>
      </w:r>
      <w:r>
        <w:rPr>
          <w:rFonts w:hint="eastAsia" w:ascii="仿宋" w:hAnsi="仿宋" w:eastAsia="仿宋" w:cs="仿宋"/>
          <w:spacing w:val="-8"/>
          <w:sz w:val="32"/>
          <w:szCs w:val="32"/>
          <w:highlight w:val="none"/>
        </w:rPr>
        <w:t>产出</w:t>
      </w:r>
      <w:r>
        <w:rPr>
          <w:rFonts w:hint="eastAsia" w:ascii="仿宋" w:hAnsi="仿宋" w:eastAsia="仿宋" w:cs="仿宋"/>
          <w:spacing w:val="-8"/>
          <w:sz w:val="32"/>
          <w:szCs w:val="32"/>
          <w:highlight w:val="none"/>
          <w:lang w:eastAsia="zh-CN"/>
        </w:rPr>
        <w:t>标准分</w:t>
      </w:r>
      <w:r>
        <w:rPr>
          <w:rFonts w:hint="eastAsia" w:ascii="仿宋" w:hAnsi="仿宋" w:eastAsia="仿宋" w:cs="仿宋"/>
          <w:spacing w:val="-8"/>
          <w:sz w:val="32"/>
          <w:szCs w:val="32"/>
          <w:highlight w:val="none"/>
          <w:lang w:val="en-US" w:eastAsia="zh-CN"/>
        </w:rPr>
        <w:t>35分，得分30分，效益标准分25分、得分23</w:t>
      </w:r>
      <w:r>
        <w:rPr>
          <w:rFonts w:hint="eastAsia" w:ascii="仿宋" w:hAnsi="仿宋" w:eastAsia="仿宋" w:cs="仿宋"/>
          <w:spacing w:val="-8"/>
          <w:sz w:val="32"/>
          <w:szCs w:val="32"/>
          <w:highlight w:val="none"/>
        </w:rPr>
        <w:t>分。</w:t>
      </w:r>
      <w:r>
        <w:rPr>
          <w:rFonts w:hint="eastAsia" w:ascii="仿宋" w:hAnsi="仿宋" w:eastAsia="仿宋" w:cs="仿宋"/>
          <w:spacing w:val="-8"/>
          <w:sz w:val="32"/>
          <w:szCs w:val="32"/>
          <w:highlight w:val="none"/>
          <w:lang w:val="en-US" w:eastAsia="zh-CN"/>
        </w:rPr>
        <w:t>评分结果：83.6分</w:t>
      </w:r>
    </w:p>
    <w:p>
      <w:pPr>
        <w:keepNext w:val="0"/>
        <w:keepLines w:val="0"/>
        <w:pageBreakBefore w:val="0"/>
        <w:widowControl w:val="0"/>
        <w:shd w:val="clear"/>
        <w:kinsoku/>
        <w:wordWrap/>
        <w:overflowPunct/>
        <w:topLinePunct w:val="0"/>
        <w:autoSpaceDE/>
        <w:autoSpaceDN/>
        <w:bidi w:val="0"/>
        <w:adjustRightInd/>
        <w:snapToGrid/>
        <w:spacing w:line="360" w:lineRule="auto"/>
        <w:ind w:left="0" w:leftChars="0" w:firstLine="643" w:firstLineChars="200"/>
        <w:textAlignment w:val="auto"/>
        <w:outlineLvl w:val="1"/>
        <w:rPr>
          <w:rFonts w:hint="eastAsia" w:ascii="楷体" w:hAnsi="楷体" w:eastAsia="楷体" w:cs="楷体"/>
          <w:b/>
          <w:bCs/>
          <w:sz w:val="32"/>
          <w:szCs w:val="32"/>
          <w:highlight w:val="none"/>
          <w:lang w:val="en-US" w:eastAsia="zh-CN"/>
        </w:rPr>
      </w:pPr>
      <w:r>
        <w:rPr>
          <w:rFonts w:hint="eastAsia" w:ascii="楷体" w:hAnsi="楷体" w:eastAsia="楷体" w:cs="楷体"/>
          <w:b/>
          <w:bCs/>
          <w:sz w:val="32"/>
          <w:szCs w:val="32"/>
          <w:highlight w:val="none"/>
          <w:lang w:val="en-US" w:eastAsia="zh-CN"/>
        </w:rPr>
        <w:t>(一)项目决策情况</w:t>
      </w:r>
      <w:bookmarkEnd w:id="16"/>
    </w:p>
    <w:p>
      <w:pPr>
        <w:keepNext w:val="0"/>
        <w:keepLines w:val="0"/>
        <w:pageBreakBefore w:val="0"/>
        <w:widowControl w:val="0"/>
        <w:shd w:val="clear"/>
        <w:kinsoku/>
        <w:wordWrap/>
        <w:overflowPunct/>
        <w:topLinePunct w:val="0"/>
        <w:autoSpaceDE/>
        <w:autoSpaceDN/>
        <w:bidi w:val="0"/>
        <w:adjustRightInd/>
        <w:snapToGrid/>
        <w:spacing w:line="360" w:lineRule="auto"/>
        <w:ind w:left="0" w:leftChars="0" w:firstLine="640" w:firstLineChars="200"/>
        <w:textAlignment w:val="auto"/>
        <w:rPr>
          <w:rFonts w:hint="eastAsia" w:ascii="仿宋" w:hAnsi="仿宋" w:eastAsia="仿宋" w:cs="仿宋"/>
          <w:b w:val="0"/>
          <w:bCs w:val="0"/>
          <w:sz w:val="32"/>
          <w:szCs w:val="32"/>
          <w:highlight w:val="none"/>
          <w:lang w:val="en-US" w:eastAsia="zh-CN"/>
        </w:rPr>
      </w:pPr>
      <w:r>
        <w:rPr>
          <w:rFonts w:hint="eastAsia" w:ascii="仿宋" w:hAnsi="仿宋" w:eastAsia="仿宋" w:cs="仿宋"/>
          <w:b w:val="0"/>
          <w:bCs w:val="0"/>
          <w:sz w:val="32"/>
          <w:szCs w:val="32"/>
          <w:highlight w:val="none"/>
          <w:lang w:val="en-US" w:eastAsia="zh-CN"/>
        </w:rPr>
        <w:t>项目决策标准分10分，得分8分，扣2分。具体情况如下：</w:t>
      </w:r>
    </w:p>
    <w:p>
      <w:pPr>
        <w:keepNext w:val="0"/>
        <w:keepLines w:val="0"/>
        <w:pageBreakBefore w:val="0"/>
        <w:widowControl w:val="0"/>
        <w:shd w:val="clear"/>
        <w:kinsoku/>
        <w:wordWrap/>
        <w:overflowPunct/>
        <w:topLinePunct w:val="0"/>
        <w:autoSpaceDE/>
        <w:autoSpaceDN/>
        <w:bidi w:val="0"/>
        <w:adjustRightInd/>
        <w:snapToGrid/>
        <w:spacing w:line="360" w:lineRule="auto"/>
        <w:ind w:left="0" w:leftChars="0" w:firstLine="643" w:firstLineChars="200"/>
        <w:textAlignment w:val="auto"/>
        <w:rPr>
          <w:rFonts w:hint="eastAsia" w:ascii="仿宋" w:hAnsi="仿宋" w:eastAsia="仿宋" w:cs="仿宋"/>
          <w:b/>
          <w:bCs/>
          <w:sz w:val="32"/>
          <w:szCs w:val="32"/>
          <w:highlight w:val="none"/>
          <w:lang w:val="en-US" w:eastAsia="zh-CN"/>
        </w:rPr>
      </w:pPr>
      <w:r>
        <w:rPr>
          <w:rFonts w:hint="eastAsia" w:ascii="仿宋" w:hAnsi="仿宋" w:eastAsia="仿宋" w:cs="仿宋"/>
          <w:b/>
          <w:bCs/>
          <w:sz w:val="32"/>
          <w:szCs w:val="32"/>
          <w:highlight w:val="none"/>
          <w:lang w:val="en-US" w:eastAsia="zh-CN"/>
        </w:rPr>
        <w:t>1.项目立项</w:t>
      </w:r>
    </w:p>
    <w:p>
      <w:pPr>
        <w:keepNext w:val="0"/>
        <w:keepLines w:val="0"/>
        <w:pageBreakBefore w:val="0"/>
        <w:widowControl w:val="0"/>
        <w:shd w:val="clear"/>
        <w:kinsoku/>
        <w:wordWrap/>
        <w:overflowPunct/>
        <w:topLinePunct w:val="0"/>
        <w:autoSpaceDE/>
        <w:autoSpaceDN/>
        <w:bidi w:val="0"/>
        <w:adjustRightInd/>
        <w:snapToGrid/>
        <w:spacing w:line="360" w:lineRule="auto"/>
        <w:ind w:left="0" w:leftChars="0" w:firstLine="640" w:firstLineChars="200"/>
        <w:textAlignment w:val="auto"/>
        <w:rPr>
          <w:rFonts w:hint="eastAsia" w:ascii="仿宋" w:hAnsi="仿宋" w:eastAsia="仿宋" w:cs="仿宋"/>
          <w:b/>
          <w:bCs/>
          <w:sz w:val="32"/>
          <w:szCs w:val="32"/>
          <w:highlight w:val="none"/>
          <w:lang w:val="en-US" w:eastAsia="zh-CN"/>
        </w:rPr>
      </w:pPr>
      <w:r>
        <w:rPr>
          <w:rFonts w:hint="eastAsia" w:ascii="仿宋" w:hAnsi="仿宋" w:eastAsia="仿宋" w:cs="仿宋"/>
          <w:b w:val="0"/>
          <w:bCs w:val="0"/>
          <w:sz w:val="32"/>
          <w:szCs w:val="32"/>
          <w:highlight w:val="none"/>
          <w:lang w:val="en-US" w:eastAsia="zh-CN"/>
        </w:rPr>
        <w:t>一是本项目事前编制了可行性研究报告，专家论证，主管单位出具了《关于同意邵阳经开区三一配套产业园工程建设项目的批复》（邵经开审批(投)发〔2019〕21号）的文件，要求项目单位严格执行国家有关招投标的规定，建筑工程、安装工程、主要设备、重要材料、勘察、设计、监理等均应依法委托有相应资质的招投标代理机构实行公开招标，并接受有关行政主管部门的监督。二是项目取得</w:t>
      </w:r>
      <w:r>
        <w:rPr>
          <w:rFonts w:hint="eastAsia" w:ascii="仿宋" w:hAnsi="仿宋" w:eastAsia="仿宋" w:cs="仿宋"/>
          <w:sz w:val="32"/>
          <w:szCs w:val="32"/>
          <w:highlight w:val="none"/>
          <w:lang w:val="en-US" w:eastAsia="zh-CN"/>
        </w:rPr>
        <w:t>相关部门的环评、用地、规划、施工许可，申报程序合法合规。三是</w:t>
      </w:r>
      <w:r>
        <w:rPr>
          <w:rFonts w:hint="eastAsia" w:ascii="仿宋" w:hAnsi="仿宋" w:eastAsia="仿宋" w:cs="仿宋"/>
          <w:b w:val="0"/>
          <w:bCs w:val="0"/>
          <w:sz w:val="32"/>
          <w:szCs w:val="32"/>
          <w:highlight w:val="none"/>
          <w:lang w:val="en-US" w:eastAsia="zh-CN"/>
        </w:rPr>
        <w:t xml:space="preserve">按专项债券申报要求编制了“一案两书”，编制《项目预期收益和融资平衡方案》和《收益与融资自求平衡专项审核报告》进行论证，申请额度与项目目标相适应，申请额度在项目土地出售收入、标准厂房出租出售收入、停车位出租收入的偿还能力之内。      </w:t>
      </w:r>
      <w:r>
        <w:rPr>
          <w:rFonts w:hint="eastAsia" w:ascii="仿宋" w:hAnsi="仿宋" w:eastAsia="仿宋" w:cs="仿宋"/>
          <w:b/>
          <w:bCs/>
          <w:sz w:val="32"/>
          <w:szCs w:val="32"/>
          <w:highlight w:val="none"/>
          <w:lang w:val="en-US" w:eastAsia="zh-CN"/>
        </w:rPr>
        <w:tab/>
      </w:r>
      <w:r>
        <w:rPr>
          <w:rFonts w:hint="eastAsia" w:ascii="仿宋" w:hAnsi="仿宋" w:eastAsia="仿宋" w:cs="仿宋"/>
          <w:b/>
          <w:bCs/>
          <w:sz w:val="32"/>
          <w:szCs w:val="32"/>
          <w:highlight w:val="none"/>
          <w:lang w:val="en-US" w:eastAsia="zh-CN"/>
        </w:rPr>
        <w:t xml:space="preserve"> </w:t>
      </w:r>
    </w:p>
    <w:p>
      <w:pPr>
        <w:keepNext w:val="0"/>
        <w:keepLines w:val="0"/>
        <w:pageBreakBefore w:val="0"/>
        <w:widowControl w:val="0"/>
        <w:shd w:val="clear"/>
        <w:kinsoku/>
        <w:wordWrap/>
        <w:overflowPunct/>
        <w:topLinePunct w:val="0"/>
        <w:autoSpaceDE/>
        <w:autoSpaceDN/>
        <w:bidi w:val="0"/>
        <w:adjustRightInd/>
        <w:snapToGrid/>
        <w:spacing w:line="360" w:lineRule="auto"/>
        <w:ind w:left="0" w:leftChars="0" w:firstLine="643" w:firstLineChars="200"/>
        <w:textAlignment w:val="auto"/>
        <w:rPr>
          <w:rFonts w:hint="eastAsia" w:ascii="仿宋" w:hAnsi="仿宋" w:eastAsia="仿宋" w:cs="仿宋"/>
          <w:b/>
          <w:bCs/>
          <w:sz w:val="32"/>
          <w:szCs w:val="32"/>
          <w:highlight w:val="none"/>
          <w:lang w:val="en-US" w:eastAsia="zh-CN"/>
        </w:rPr>
      </w:pPr>
      <w:r>
        <w:rPr>
          <w:rFonts w:hint="eastAsia" w:ascii="仿宋" w:hAnsi="仿宋" w:eastAsia="仿宋" w:cs="仿宋"/>
          <w:b/>
          <w:bCs/>
          <w:sz w:val="32"/>
          <w:szCs w:val="32"/>
          <w:highlight w:val="none"/>
          <w:lang w:val="en-US" w:eastAsia="zh-CN"/>
        </w:rPr>
        <w:t>2.绩效目标</w:t>
      </w:r>
    </w:p>
    <w:p>
      <w:pPr>
        <w:keepNext w:val="0"/>
        <w:keepLines w:val="0"/>
        <w:pageBreakBefore w:val="0"/>
        <w:widowControl w:val="0"/>
        <w:shd w:val="clear"/>
        <w:kinsoku/>
        <w:wordWrap/>
        <w:overflowPunct/>
        <w:topLinePunct w:val="0"/>
        <w:autoSpaceDE/>
        <w:autoSpaceDN/>
        <w:bidi w:val="0"/>
        <w:adjustRightInd/>
        <w:snapToGrid/>
        <w:spacing w:line="360" w:lineRule="auto"/>
        <w:ind w:left="0" w:leftChars="0" w:firstLine="640" w:firstLineChars="200"/>
        <w:textAlignment w:val="auto"/>
        <w:rPr>
          <w:rFonts w:hint="eastAsia" w:ascii="仿宋" w:hAnsi="仿宋" w:eastAsia="仿宋" w:cs="仿宋"/>
          <w:b w:val="0"/>
          <w:bCs w:val="0"/>
          <w:sz w:val="32"/>
          <w:szCs w:val="32"/>
          <w:highlight w:val="none"/>
          <w:lang w:val="en-US" w:eastAsia="zh-CN"/>
        </w:rPr>
      </w:pPr>
      <w:r>
        <w:rPr>
          <w:rFonts w:hint="eastAsia" w:ascii="仿宋" w:hAnsi="仿宋" w:eastAsia="仿宋" w:cs="仿宋"/>
          <w:b w:val="0"/>
          <w:bCs w:val="0"/>
          <w:sz w:val="32"/>
          <w:szCs w:val="32"/>
          <w:highlight w:val="none"/>
          <w:lang w:val="en-US" w:eastAsia="zh-CN"/>
        </w:rPr>
        <w:t>项目没有进行绩效目标申报，没有设置清晰、可衡量的绩效指标值，扣2分。</w:t>
      </w:r>
    </w:p>
    <w:p>
      <w:pPr>
        <w:keepNext w:val="0"/>
        <w:keepLines w:val="0"/>
        <w:pageBreakBefore w:val="0"/>
        <w:widowControl w:val="0"/>
        <w:shd w:val="clear"/>
        <w:kinsoku/>
        <w:wordWrap/>
        <w:overflowPunct/>
        <w:topLinePunct w:val="0"/>
        <w:autoSpaceDE/>
        <w:autoSpaceDN/>
        <w:bidi w:val="0"/>
        <w:adjustRightInd/>
        <w:snapToGrid/>
        <w:spacing w:line="360" w:lineRule="auto"/>
        <w:ind w:left="0" w:leftChars="0" w:firstLine="643" w:firstLineChars="200"/>
        <w:textAlignment w:val="auto"/>
        <w:rPr>
          <w:rFonts w:hint="eastAsia" w:ascii="楷体" w:hAnsi="楷体" w:eastAsia="楷体" w:cs="楷体"/>
          <w:b/>
          <w:bCs/>
          <w:sz w:val="32"/>
          <w:szCs w:val="32"/>
          <w:highlight w:val="none"/>
          <w:lang w:val="en-US" w:eastAsia="zh-CN"/>
        </w:rPr>
      </w:pPr>
      <w:r>
        <w:rPr>
          <w:rFonts w:hint="eastAsia" w:ascii="楷体" w:hAnsi="楷体" w:eastAsia="楷体" w:cs="楷体"/>
          <w:b/>
          <w:bCs/>
          <w:sz w:val="32"/>
          <w:szCs w:val="32"/>
          <w:highlight w:val="none"/>
          <w:lang w:val="en-US" w:eastAsia="zh-CN"/>
        </w:rPr>
        <w:t>(二)项目过程情况</w:t>
      </w:r>
    </w:p>
    <w:p>
      <w:pPr>
        <w:keepNext w:val="0"/>
        <w:keepLines w:val="0"/>
        <w:pageBreakBefore w:val="0"/>
        <w:widowControl w:val="0"/>
        <w:shd w:val="clear"/>
        <w:kinsoku/>
        <w:wordWrap/>
        <w:overflowPunct/>
        <w:topLinePunct w:val="0"/>
        <w:autoSpaceDE/>
        <w:autoSpaceDN/>
        <w:bidi w:val="0"/>
        <w:adjustRightInd/>
        <w:snapToGrid/>
        <w:spacing w:line="360" w:lineRule="auto"/>
        <w:ind w:left="0" w:leftChars="0" w:firstLine="640" w:firstLineChars="200"/>
        <w:textAlignment w:val="auto"/>
        <w:rPr>
          <w:rFonts w:hint="eastAsia" w:ascii="仿宋" w:hAnsi="仿宋" w:eastAsia="仿宋" w:cs="仿宋"/>
          <w:b w:val="0"/>
          <w:bCs w:val="0"/>
          <w:sz w:val="32"/>
          <w:szCs w:val="32"/>
          <w:highlight w:val="none"/>
          <w:lang w:val="en-US" w:eastAsia="zh-CN"/>
        </w:rPr>
      </w:pPr>
      <w:r>
        <w:rPr>
          <w:rFonts w:hint="eastAsia" w:ascii="仿宋" w:hAnsi="仿宋" w:eastAsia="仿宋" w:cs="仿宋"/>
          <w:b w:val="0"/>
          <w:bCs w:val="0"/>
          <w:sz w:val="32"/>
          <w:szCs w:val="32"/>
          <w:highlight w:val="none"/>
          <w:lang w:val="en-US" w:eastAsia="zh-CN"/>
        </w:rPr>
        <w:t>项目过程标准分30分，得分22.6分，扣7.4分。具体情况如下：</w:t>
      </w:r>
    </w:p>
    <w:p>
      <w:pPr>
        <w:keepNext w:val="0"/>
        <w:keepLines w:val="0"/>
        <w:pageBreakBefore w:val="0"/>
        <w:widowControl w:val="0"/>
        <w:shd w:val="clear"/>
        <w:kinsoku/>
        <w:wordWrap/>
        <w:overflowPunct/>
        <w:topLinePunct w:val="0"/>
        <w:autoSpaceDE/>
        <w:autoSpaceDN/>
        <w:bidi w:val="0"/>
        <w:adjustRightInd/>
        <w:snapToGrid/>
        <w:spacing w:line="360" w:lineRule="auto"/>
        <w:ind w:left="0" w:leftChars="0" w:firstLine="643" w:firstLineChars="200"/>
        <w:textAlignment w:val="auto"/>
        <w:rPr>
          <w:rFonts w:hint="eastAsia" w:ascii="仿宋" w:hAnsi="仿宋" w:eastAsia="仿宋" w:cs="仿宋"/>
          <w:b/>
          <w:bCs/>
          <w:sz w:val="32"/>
          <w:szCs w:val="32"/>
          <w:highlight w:val="none"/>
          <w:lang w:val="en-US" w:eastAsia="zh-CN"/>
        </w:rPr>
      </w:pPr>
      <w:r>
        <w:rPr>
          <w:rFonts w:hint="eastAsia" w:ascii="仿宋" w:hAnsi="仿宋" w:eastAsia="仿宋" w:cs="仿宋"/>
          <w:b/>
          <w:bCs/>
          <w:sz w:val="32"/>
          <w:szCs w:val="32"/>
          <w:highlight w:val="none"/>
          <w:lang w:val="en-US" w:eastAsia="zh-CN"/>
        </w:rPr>
        <w:t>1.项目资金管理</w:t>
      </w:r>
    </w:p>
    <w:p>
      <w:pPr>
        <w:keepNext w:val="0"/>
        <w:keepLines w:val="0"/>
        <w:pageBreakBefore w:val="0"/>
        <w:widowControl w:val="0"/>
        <w:shd w:val="clear"/>
        <w:kinsoku/>
        <w:wordWrap/>
        <w:overflowPunct/>
        <w:topLinePunct w:val="0"/>
        <w:autoSpaceDE/>
        <w:autoSpaceDN/>
        <w:bidi w:val="0"/>
        <w:adjustRightInd/>
        <w:snapToGrid/>
        <w:spacing w:line="360" w:lineRule="auto"/>
        <w:ind w:left="0" w:leftChars="0" w:firstLine="640" w:firstLineChars="200"/>
        <w:textAlignment w:val="auto"/>
        <w:rPr>
          <w:rFonts w:hint="eastAsia" w:ascii="仿宋" w:hAnsi="仿宋" w:eastAsia="仿宋" w:cs="仿宋"/>
          <w:b w:val="0"/>
          <w:bCs w:val="0"/>
          <w:sz w:val="32"/>
          <w:szCs w:val="32"/>
          <w:highlight w:val="none"/>
          <w:lang w:val="en-US" w:eastAsia="zh-CN"/>
        </w:rPr>
      </w:pPr>
      <w:r>
        <w:rPr>
          <w:rFonts w:hint="eastAsia" w:ascii="仿宋" w:hAnsi="仿宋" w:eastAsia="仿宋" w:cs="仿宋"/>
          <w:b w:val="0"/>
          <w:bCs w:val="0"/>
          <w:sz w:val="32"/>
          <w:szCs w:val="32"/>
          <w:highlight w:val="none"/>
          <w:lang w:val="en-US" w:eastAsia="zh-CN"/>
        </w:rPr>
        <w:t>一是资金到位率100%。二是专项资金预算执行率86.81%，按评价标准扣0.4分。三是严格按照《财务管理制度》和《湖南省政府专项债券管理暂行办法》进行专项债券资金管理，按照文件规定的建设范围和用途使用专债资金，使用双控账户支付资金，资金拨付有完整的审批程序和手续;四是按照协议约定和财政部门要求及时支付利息，未出现违约现象。</w:t>
      </w:r>
    </w:p>
    <w:p>
      <w:pPr>
        <w:keepNext w:val="0"/>
        <w:keepLines w:val="0"/>
        <w:pageBreakBefore w:val="0"/>
        <w:widowControl w:val="0"/>
        <w:shd w:val="clear"/>
        <w:kinsoku/>
        <w:wordWrap/>
        <w:overflowPunct/>
        <w:topLinePunct w:val="0"/>
        <w:autoSpaceDE/>
        <w:autoSpaceDN/>
        <w:bidi w:val="0"/>
        <w:adjustRightInd/>
        <w:snapToGrid/>
        <w:spacing w:line="360" w:lineRule="auto"/>
        <w:ind w:left="0" w:leftChars="0" w:firstLine="643" w:firstLineChars="200"/>
        <w:textAlignment w:val="auto"/>
        <w:rPr>
          <w:rFonts w:hint="eastAsia" w:ascii="仿宋" w:hAnsi="仿宋" w:eastAsia="仿宋" w:cs="仿宋"/>
          <w:b/>
          <w:bCs/>
          <w:sz w:val="32"/>
          <w:szCs w:val="32"/>
          <w:highlight w:val="none"/>
          <w:lang w:val="en-US" w:eastAsia="zh-CN"/>
        </w:rPr>
      </w:pPr>
      <w:r>
        <w:rPr>
          <w:rFonts w:hint="eastAsia" w:ascii="仿宋" w:hAnsi="仿宋" w:eastAsia="仿宋" w:cs="仿宋"/>
          <w:b/>
          <w:bCs/>
          <w:sz w:val="32"/>
          <w:szCs w:val="32"/>
          <w:highlight w:val="none"/>
          <w:lang w:val="en-US" w:eastAsia="zh-CN"/>
        </w:rPr>
        <w:t>2.项目实施</w:t>
      </w:r>
    </w:p>
    <w:p>
      <w:pPr>
        <w:pStyle w:val="11"/>
        <w:keepNext w:val="0"/>
        <w:keepLines w:val="0"/>
        <w:pageBreakBefore w:val="0"/>
        <w:widowControl w:val="0"/>
        <w:shd w:val="clear"/>
        <w:kinsoku/>
        <w:wordWrap/>
        <w:overflowPunct/>
        <w:topLinePunct w:val="0"/>
        <w:autoSpaceDE/>
        <w:autoSpaceDN/>
        <w:bidi w:val="0"/>
        <w:adjustRightInd/>
        <w:snapToGrid/>
        <w:spacing w:beforeLines="0" w:afterLines="0" w:line="360" w:lineRule="auto"/>
        <w:ind w:left="0"/>
        <w:textAlignment w:val="auto"/>
        <w:rPr>
          <w:rFonts w:hint="eastAsia" w:ascii="仿宋" w:hAnsi="仿宋" w:eastAsia="仿宋" w:cs="仿宋"/>
          <w:b w:val="0"/>
          <w:bCs w:val="0"/>
          <w:spacing w:val="-8"/>
          <w:sz w:val="32"/>
          <w:szCs w:val="32"/>
          <w:highlight w:val="none"/>
          <w:lang w:val="en-US" w:eastAsia="zh-CN"/>
        </w:rPr>
      </w:pPr>
      <w:r>
        <w:rPr>
          <w:rFonts w:hint="eastAsia" w:ascii="仿宋" w:hAnsi="仿宋" w:eastAsia="仿宋" w:cs="仿宋"/>
          <w:b w:val="0"/>
          <w:bCs w:val="0"/>
          <w:sz w:val="32"/>
          <w:szCs w:val="32"/>
          <w:highlight w:val="none"/>
          <w:lang w:val="en-US" w:eastAsia="zh-CN"/>
        </w:rPr>
        <w:t>一是项目立项、报批、征拆过程、征拆补偿标准、工程建设、工程竣工验收等基本按照国家相关法律法规和规章制度的规定执行。二标段工程达到必须公开招投标的限额标准但未执行制度，扣1分。二是采取了质量控制措施，委派现场代表深入工地一线做好建设项目的现场管理工作；宝城公司招标采购部牵头，会同公司相关职能部门，建立了投资项目招标代理、可研、勘察、设计、造价咨询等服务咨询机构库，通过在库内随机抽取方式确认服务咨询机构。主体工程和配套设施建筑完工后，宝城公司组织相关单位进行了质量验收。配电工程未组织验收，扣1分。三是</w:t>
      </w:r>
      <w:r>
        <w:rPr>
          <w:rFonts w:hint="eastAsia" w:ascii="仿宋" w:hAnsi="仿宋" w:eastAsia="仿宋" w:cs="仿宋"/>
          <w:sz w:val="32"/>
          <w:szCs w:val="32"/>
          <w:highlight w:val="none"/>
          <w:lang w:val="en-US" w:eastAsia="zh-CN"/>
        </w:rPr>
        <w:t>宝城公司</w:t>
      </w:r>
      <w:r>
        <w:rPr>
          <w:rFonts w:hint="eastAsia" w:ascii="仿宋" w:hAnsi="仿宋" w:eastAsia="仿宋" w:cs="仿宋"/>
          <w:b w:val="0"/>
          <w:bCs w:val="0"/>
          <w:spacing w:val="-8"/>
          <w:sz w:val="32"/>
          <w:szCs w:val="32"/>
          <w:highlight w:val="none"/>
          <w:lang w:val="en-US" w:eastAsia="zh-CN"/>
        </w:rPr>
        <w:t>制定了《融资管理暂行办法》应对风险，实施过程中未出现发生重大债务违约事件、重大安全事故、重大违法违规事件及重大群体性事件等。公司未正式出台债务风险应对预案和社会稳定风险应对预案，扣1分。公司实施本项目暂未产生收益，而按照</w:t>
      </w:r>
      <w:r>
        <w:rPr>
          <w:rFonts w:hint="eastAsia" w:ascii="仿宋" w:hAnsi="仿宋" w:eastAsia="仿宋" w:cs="仿宋"/>
          <w:b w:val="0"/>
          <w:bCs w:val="0"/>
          <w:sz w:val="32"/>
          <w:szCs w:val="32"/>
          <w:highlight w:val="none"/>
          <w:lang w:val="en-US" w:eastAsia="zh-CN"/>
        </w:rPr>
        <w:t>项目预期收益和融资平衡方案，预计项目从2021年开始产生收益，项目收益与预期存在差异风险，扣1分。</w:t>
      </w:r>
      <w:r>
        <w:rPr>
          <w:rFonts w:hint="eastAsia" w:ascii="仿宋" w:hAnsi="仿宋" w:eastAsia="仿宋" w:cs="仿宋"/>
          <w:b w:val="0"/>
          <w:bCs w:val="0"/>
          <w:spacing w:val="-8"/>
          <w:sz w:val="32"/>
          <w:szCs w:val="32"/>
          <w:highlight w:val="none"/>
          <w:lang w:val="en-US" w:eastAsia="zh-CN"/>
        </w:rPr>
        <w:t>四是委托代理机构对建筑工程和配电工程进行了招标并签订合同。宝城公司对二标段</w:t>
      </w:r>
      <w:r>
        <w:rPr>
          <w:rFonts w:hint="eastAsia" w:ascii="仿宋" w:hAnsi="仿宋" w:eastAsia="仿宋" w:cs="仿宋"/>
          <w:sz w:val="32"/>
          <w:szCs w:val="32"/>
          <w:highlight w:val="none"/>
          <w:lang w:val="en-US" w:eastAsia="zh-CN"/>
        </w:rPr>
        <w:t>11510.92万元建设项目未严格执行招标程序；合同签订不规范，二标段合同的签订日期（2020年12月22日）晚于合同约定的完工日期（2020年8月30日），即工程完工才补签合同。配电工程437.40万元，分两个合同签订，项目总额已达到公开招标数额，但仅执行邀请招标程序。扣3分。五是项目档案资料由宝城公司对应部门的人员保管齐全。</w:t>
      </w:r>
    </w:p>
    <w:p>
      <w:pPr>
        <w:pStyle w:val="11"/>
        <w:keepNext w:val="0"/>
        <w:keepLines w:val="0"/>
        <w:pageBreakBefore w:val="0"/>
        <w:widowControl w:val="0"/>
        <w:shd w:val="clear"/>
        <w:kinsoku/>
        <w:wordWrap/>
        <w:overflowPunct/>
        <w:topLinePunct w:val="0"/>
        <w:autoSpaceDE/>
        <w:autoSpaceDN/>
        <w:bidi w:val="0"/>
        <w:adjustRightInd/>
        <w:snapToGrid/>
        <w:spacing w:beforeLines="0" w:afterLines="0" w:line="360" w:lineRule="auto"/>
        <w:ind w:left="0"/>
        <w:textAlignment w:val="auto"/>
        <w:rPr>
          <w:rFonts w:hint="eastAsia" w:ascii="楷体" w:hAnsi="楷体" w:eastAsia="楷体" w:cs="楷体"/>
          <w:b/>
          <w:bCs/>
          <w:spacing w:val="-8"/>
          <w:sz w:val="32"/>
          <w:szCs w:val="32"/>
          <w:highlight w:val="none"/>
          <w:lang w:val="en-US" w:eastAsia="zh-CN"/>
        </w:rPr>
      </w:pPr>
      <w:r>
        <w:rPr>
          <w:rFonts w:hint="eastAsia" w:ascii="楷体" w:hAnsi="楷体" w:eastAsia="楷体" w:cs="楷体"/>
          <w:b/>
          <w:bCs/>
          <w:spacing w:val="-8"/>
          <w:sz w:val="32"/>
          <w:szCs w:val="32"/>
          <w:highlight w:val="none"/>
          <w:lang w:val="en-US" w:eastAsia="zh-CN"/>
        </w:rPr>
        <w:t>(三)项目产出情况</w:t>
      </w:r>
    </w:p>
    <w:p>
      <w:pPr>
        <w:keepNext w:val="0"/>
        <w:keepLines w:val="0"/>
        <w:pageBreakBefore w:val="0"/>
        <w:widowControl w:val="0"/>
        <w:shd w:val="clear"/>
        <w:kinsoku/>
        <w:wordWrap/>
        <w:overflowPunct/>
        <w:topLinePunct w:val="0"/>
        <w:autoSpaceDE/>
        <w:autoSpaceDN/>
        <w:bidi w:val="0"/>
        <w:adjustRightInd/>
        <w:snapToGrid/>
        <w:spacing w:line="360" w:lineRule="auto"/>
        <w:ind w:left="0" w:leftChars="0" w:firstLine="640" w:firstLineChars="200"/>
        <w:textAlignment w:val="auto"/>
        <w:rPr>
          <w:rFonts w:hint="eastAsia" w:ascii="仿宋" w:hAnsi="仿宋" w:eastAsia="仿宋" w:cs="仿宋"/>
          <w:b w:val="0"/>
          <w:bCs w:val="0"/>
          <w:sz w:val="32"/>
          <w:szCs w:val="32"/>
          <w:highlight w:val="none"/>
          <w:lang w:val="en-US" w:eastAsia="zh-CN"/>
        </w:rPr>
      </w:pPr>
      <w:r>
        <w:rPr>
          <w:rFonts w:hint="eastAsia" w:ascii="仿宋" w:hAnsi="仿宋" w:eastAsia="仿宋" w:cs="仿宋"/>
          <w:b w:val="0"/>
          <w:bCs w:val="0"/>
          <w:sz w:val="32"/>
          <w:szCs w:val="32"/>
          <w:highlight w:val="none"/>
          <w:lang w:val="en-US" w:eastAsia="zh-CN"/>
        </w:rPr>
        <w:t>项目产出标准分35分，得分32分，扣3分。具体情况如下：</w:t>
      </w:r>
    </w:p>
    <w:p>
      <w:pPr>
        <w:pStyle w:val="11"/>
        <w:keepNext w:val="0"/>
        <w:keepLines w:val="0"/>
        <w:pageBreakBefore w:val="0"/>
        <w:widowControl w:val="0"/>
        <w:shd w:val="clear"/>
        <w:kinsoku/>
        <w:wordWrap/>
        <w:overflowPunct/>
        <w:topLinePunct w:val="0"/>
        <w:autoSpaceDE/>
        <w:autoSpaceDN/>
        <w:bidi w:val="0"/>
        <w:adjustRightInd/>
        <w:snapToGrid/>
        <w:spacing w:beforeLines="0" w:afterLines="0" w:line="360" w:lineRule="auto"/>
        <w:ind w:left="0"/>
        <w:textAlignment w:val="auto"/>
        <w:rPr>
          <w:rFonts w:hint="eastAsia" w:ascii="仿宋" w:hAnsi="仿宋" w:eastAsia="仿宋" w:cs="仿宋"/>
          <w:b/>
          <w:bCs/>
          <w:spacing w:val="-8"/>
          <w:sz w:val="32"/>
          <w:szCs w:val="32"/>
          <w:highlight w:val="none"/>
          <w:lang w:val="en-US" w:eastAsia="zh-CN"/>
        </w:rPr>
      </w:pPr>
      <w:r>
        <w:rPr>
          <w:rFonts w:hint="eastAsia" w:ascii="仿宋" w:hAnsi="仿宋" w:eastAsia="仿宋" w:cs="仿宋"/>
          <w:b/>
          <w:bCs/>
          <w:spacing w:val="-8"/>
          <w:sz w:val="32"/>
          <w:szCs w:val="32"/>
          <w:highlight w:val="none"/>
          <w:lang w:val="en-US" w:eastAsia="zh-CN"/>
        </w:rPr>
        <w:t>1.产出数量</w:t>
      </w:r>
    </w:p>
    <w:p>
      <w:pPr>
        <w:pStyle w:val="11"/>
        <w:keepNext w:val="0"/>
        <w:keepLines w:val="0"/>
        <w:pageBreakBefore w:val="0"/>
        <w:widowControl w:val="0"/>
        <w:shd w:val="clear"/>
        <w:kinsoku/>
        <w:wordWrap/>
        <w:overflowPunct/>
        <w:topLinePunct w:val="0"/>
        <w:autoSpaceDE/>
        <w:autoSpaceDN/>
        <w:bidi w:val="0"/>
        <w:adjustRightInd/>
        <w:snapToGrid/>
        <w:spacing w:beforeLines="0" w:afterLines="0" w:line="360" w:lineRule="auto"/>
        <w:ind w:left="0"/>
        <w:textAlignment w:val="auto"/>
        <w:rPr>
          <w:rFonts w:hint="eastAsia" w:ascii="仿宋" w:hAnsi="仿宋" w:eastAsia="仿宋" w:cs="仿宋"/>
          <w:sz w:val="32"/>
          <w:szCs w:val="32"/>
          <w:highlight w:val="none"/>
          <w:lang w:val="en-US" w:eastAsia="zh-CN"/>
        </w:rPr>
      </w:pPr>
      <w:r>
        <w:rPr>
          <w:rFonts w:hint="eastAsia" w:ascii="仿宋" w:hAnsi="仿宋" w:eastAsia="仿宋" w:cs="仿宋"/>
          <w:b w:val="0"/>
          <w:bCs w:val="0"/>
          <w:spacing w:val="-8"/>
          <w:sz w:val="32"/>
          <w:szCs w:val="32"/>
          <w:highlight w:val="none"/>
          <w:lang w:val="en-US" w:eastAsia="zh-CN"/>
        </w:rPr>
        <w:t>已按时、按质完成可研报告和立项审批通知中的建设内容，包括</w:t>
      </w:r>
      <w:r>
        <w:rPr>
          <w:rFonts w:hint="eastAsia" w:ascii="仿宋" w:hAnsi="仿宋" w:eastAsia="仿宋" w:cs="仿宋"/>
          <w:sz w:val="32"/>
          <w:szCs w:val="32"/>
          <w:highlight w:val="none"/>
          <w:lang w:val="en-US" w:eastAsia="zh-CN"/>
        </w:rPr>
        <w:t>建设标准厂房及配套设施建筑，并配套景观绿化、给排水、强弱电等，完成三通一平等土地一级开发工作</w:t>
      </w:r>
      <w:r>
        <w:rPr>
          <w:rFonts w:hint="eastAsia" w:ascii="仿宋" w:hAnsi="仿宋" w:eastAsia="仿宋" w:cs="仿宋"/>
          <w:b w:val="0"/>
          <w:bCs w:val="0"/>
          <w:spacing w:val="-8"/>
          <w:sz w:val="32"/>
          <w:szCs w:val="32"/>
          <w:highlight w:val="none"/>
          <w:lang w:val="en-US" w:eastAsia="zh-CN"/>
        </w:rPr>
        <w:t>，完工项目已移交三一公司投入使用，主要包括：</w:t>
      </w:r>
      <w:r>
        <w:rPr>
          <w:rFonts w:hint="eastAsia" w:ascii="仿宋" w:hAnsi="仿宋" w:eastAsia="仿宋" w:cs="仿宋"/>
          <w:sz w:val="32"/>
          <w:szCs w:val="32"/>
          <w:highlight w:val="none"/>
          <w:lang w:val="en-US" w:eastAsia="zh-CN"/>
        </w:rPr>
        <w:t>1#厂房 、2#厂房、3#厂房、5#厂房（扩建）、联合厂房、配电房4间（1大3小）、空压间、垃圾间、污水处理间、门卫室2间（南、西各1间）、食堂、消防水池2个、物流通道（钢结构顶棚）、绿化带、厂区道路。</w:t>
      </w:r>
    </w:p>
    <w:p>
      <w:pPr>
        <w:pStyle w:val="11"/>
        <w:keepNext w:val="0"/>
        <w:keepLines w:val="0"/>
        <w:pageBreakBefore w:val="0"/>
        <w:widowControl w:val="0"/>
        <w:shd w:val="clear"/>
        <w:kinsoku/>
        <w:wordWrap/>
        <w:overflowPunct/>
        <w:topLinePunct w:val="0"/>
        <w:autoSpaceDE/>
        <w:autoSpaceDN/>
        <w:bidi w:val="0"/>
        <w:adjustRightInd/>
        <w:snapToGrid/>
        <w:spacing w:beforeLines="0" w:afterLines="0" w:line="360" w:lineRule="auto"/>
        <w:ind w:left="0"/>
        <w:textAlignment w:val="auto"/>
        <w:rPr>
          <w:rFonts w:hint="eastAsia" w:ascii="仿宋" w:hAnsi="仿宋" w:eastAsia="仿宋" w:cs="仿宋"/>
          <w:b/>
          <w:bCs/>
          <w:spacing w:val="-8"/>
          <w:sz w:val="32"/>
          <w:szCs w:val="32"/>
          <w:highlight w:val="none"/>
          <w:lang w:val="en-US" w:eastAsia="zh-CN"/>
        </w:rPr>
      </w:pPr>
      <w:r>
        <w:rPr>
          <w:rFonts w:hint="eastAsia" w:ascii="仿宋" w:hAnsi="仿宋" w:eastAsia="仿宋" w:cs="仿宋"/>
          <w:b/>
          <w:bCs/>
          <w:spacing w:val="-8"/>
          <w:sz w:val="32"/>
          <w:szCs w:val="32"/>
          <w:highlight w:val="none"/>
          <w:lang w:val="en-US" w:eastAsia="zh-CN"/>
        </w:rPr>
        <w:t>2.产出质量</w:t>
      </w:r>
    </w:p>
    <w:p>
      <w:pPr>
        <w:pStyle w:val="11"/>
        <w:keepNext w:val="0"/>
        <w:keepLines w:val="0"/>
        <w:pageBreakBefore w:val="0"/>
        <w:widowControl w:val="0"/>
        <w:shd w:val="clear"/>
        <w:kinsoku/>
        <w:wordWrap/>
        <w:overflowPunct/>
        <w:topLinePunct w:val="0"/>
        <w:autoSpaceDE/>
        <w:autoSpaceDN/>
        <w:bidi w:val="0"/>
        <w:adjustRightInd/>
        <w:snapToGrid/>
        <w:spacing w:beforeLines="0" w:afterLines="0" w:line="360" w:lineRule="auto"/>
        <w:ind w:left="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建筑工程经验收质量合格。</w:t>
      </w:r>
    </w:p>
    <w:p>
      <w:pPr>
        <w:pStyle w:val="11"/>
        <w:keepNext w:val="0"/>
        <w:keepLines w:val="0"/>
        <w:pageBreakBefore w:val="0"/>
        <w:widowControl w:val="0"/>
        <w:shd w:val="clear"/>
        <w:kinsoku/>
        <w:wordWrap/>
        <w:overflowPunct/>
        <w:topLinePunct w:val="0"/>
        <w:autoSpaceDE/>
        <w:autoSpaceDN/>
        <w:bidi w:val="0"/>
        <w:adjustRightInd/>
        <w:snapToGrid/>
        <w:spacing w:beforeLines="0" w:afterLines="0" w:line="360" w:lineRule="auto"/>
        <w:ind w:left="0"/>
        <w:textAlignment w:val="auto"/>
        <w:rPr>
          <w:rFonts w:hint="eastAsia" w:ascii="仿宋" w:hAnsi="仿宋" w:eastAsia="仿宋" w:cs="仿宋"/>
          <w:b/>
          <w:bCs/>
          <w:sz w:val="32"/>
          <w:szCs w:val="32"/>
          <w:highlight w:val="none"/>
          <w:lang w:val="en-US" w:eastAsia="zh-CN"/>
        </w:rPr>
      </w:pPr>
      <w:r>
        <w:rPr>
          <w:rFonts w:hint="eastAsia" w:ascii="仿宋" w:hAnsi="仿宋" w:eastAsia="仿宋" w:cs="仿宋"/>
          <w:b/>
          <w:bCs/>
          <w:sz w:val="32"/>
          <w:szCs w:val="32"/>
          <w:highlight w:val="none"/>
          <w:lang w:val="en-US" w:eastAsia="zh-CN"/>
        </w:rPr>
        <w:t>3.产出成本</w:t>
      </w:r>
    </w:p>
    <w:p>
      <w:pPr>
        <w:pStyle w:val="11"/>
        <w:keepNext w:val="0"/>
        <w:keepLines w:val="0"/>
        <w:pageBreakBefore w:val="0"/>
        <w:widowControl w:val="0"/>
        <w:shd w:val="clear"/>
        <w:kinsoku/>
        <w:wordWrap/>
        <w:overflowPunct/>
        <w:topLinePunct w:val="0"/>
        <w:autoSpaceDE/>
        <w:autoSpaceDN/>
        <w:bidi w:val="0"/>
        <w:adjustRightInd/>
        <w:snapToGrid/>
        <w:spacing w:beforeLines="0" w:afterLines="0" w:line="360" w:lineRule="auto"/>
        <w:ind w:left="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由邵阳公路桥梁建设有限责任公司实施的建筑工程合同总额32555.68万元，项目已支付26816.44万元，财评送审金额约37000万元，截至报告日，市财评中心初评审定金额31077.81万元，成本节约率4.54%。</w:t>
      </w:r>
    </w:p>
    <w:p>
      <w:pPr>
        <w:pStyle w:val="11"/>
        <w:keepNext w:val="0"/>
        <w:keepLines w:val="0"/>
        <w:pageBreakBefore w:val="0"/>
        <w:widowControl w:val="0"/>
        <w:shd w:val="clear"/>
        <w:kinsoku/>
        <w:wordWrap/>
        <w:overflowPunct/>
        <w:topLinePunct w:val="0"/>
        <w:autoSpaceDE/>
        <w:autoSpaceDN/>
        <w:bidi w:val="0"/>
        <w:adjustRightInd/>
        <w:snapToGrid/>
        <w:spacing w:beforeLines="0" w:afterLines="0" w:line="360" w:lineRule="auto"/>
        <w:ind w:left="0"/>
        <w:textAlignment w:val="auto"/>
        <w:rPr>
          <w:rFonts w:hint="eastAsia" w:ascii="仿宋" w:hAnsi="仿宋" w:eastAsia="仿宋" w:cs="仿宋"/>
          <w:b/>
          <w:bCs/>
          <w:sz w:val="32"/>
          <w:szCs w:val="32"/>
          <w:highlight w:val="none"/>
          <w:lang w:val="en-US" w:eastAsia="zh-CN"/>
        </w:rPr>
      </w:pPr>
      <w:r>
        <w:rPr>
          <w:rFonts w:hint="eastAsia" w:ascii="仿宋" w:hAnsi="仿宋" w:eastAsia="仿宋" w:cs="仿宋"/>
          <w:b/>
          <w:bCs/>
          <w:sz w:val="32"/>
          <w:szCs w:val="32"/>
          <w:highlight w:val="none"/>
          <w:lang w:val="en-US" w:eastAsia="zh-CN"/>
        </w:rPr>
        <w:t>4.产出时效</w:t>
      </w:r>
    </w:p>
    <w:p>
      <w:pPr>
        <w:pStyle w:val="11"/>
        <w:keepNext w:val="0"/>
        <w:keepLines w:val="0"/>
        <w:pageBreakBefore w:val="0"/>
        <w:widowControl w:val="0"/>
        <w:shd w:val="clear"/>
        <w:kinsoku/>
        <w:wordWrap/>
        <w:overflowPunct/>
        <w:topLinePunct w:val="0"/>
        <w:autoSpaceDE/>
        <w:autoSpaceDN/>
        <w:bidi w:val="0"/>
        <w:adjustRightInd/>
        <w:snapToGrid/>
        <w:spacing w:beforeLines="0" w:afterLines="0" w:line="360" w:lineRule="auto"/>
        <w:ind w:left="0"/>
        <w:textAlignment w:val="auto"/>
        <w:rPr>
          <w:rFonts w:hint="eastAsia" w:ascii="仿宋" w:hAnsi="仿宋" w:eastAsia="仿宋" w:cs="仿宋"/>
          <w:sz w:val="32"/>
          <w:szCs w:val="32"/>
          <w:highlight w:val="none"/>
          <w:lang w:val="en-US" w:eastAsia="zh-CN"/>
        </w:rPr>
      </w:pPr>
      <w:r>
        <w:rPr>
          <w:rFonts w:hint="eastAsia" w:ascii="仿宋" w:hAnsi="仿宋" w:eastAsia="仿宋" w:cs="仿宋"/>
          <w:kern w:val="2"/>
          <w:sz w:val="32"/>
          <w:szCs w:val="32"/>
          <w:highlight w:val="none"/>
          <w:lang w:val="en-US" w:eastAsia="zh-CN" w:bidi="ar-SA"/>
        </w:rPr>
        <w:t>主体工程和配套设施建筑在规定时间内完成施工，并按时组织了验收。未组织相关单位对配电工程开展验收，扣3分。</w:t>
      </w:r>
    </w:p>
    <w:p>
      <w:pPr>
        <w:pStyle w:val="11"/>
        <w:keepNext w:val="0"/>
        <w:keepLines w:val="0"/>
        <w:pageBreakBefore w:val="0"/>
        <w:widowControl w:val="0"/>
        <w:shd w:val="clear"/>
        <w:kinsoku/>
        <w:wordWrap/>
        <w:overflowPunct/>
        <w:topLinePunct w:val="0"/>
        <w:autoSpaceDE/>
        <w:autoSpaceDN/>
        <w:bidi w:val="0"/>
        <w:adjustRightInd/>
        <w:snapToGrid/>
        <w:spacing w:beforeLines="0" w:afterLines="0" w:line="360" w:lineRule="auto"/>
        <w:ind w:left="0"/>
        <w:textAlignment w:val="auto"/>
        <w:outlineLvl w:val="1"/>
        <w:rPr>
          <w:rFonts w:hint="eastAsia" w:ascii="楷体" w:hAnsi="楷体" w:eastAsia="楷体" w:cs="楷体"/>
          <w:b/>
          <w:bCs/>
          <w:sz w:val="32"/>
          <w:szCs w:val="32"/>
          <w:highlight w:val="none"/>
          <w:lang w:val="en-US" w:eastAsia="zh-CN"/>
        </w:rPr>
      </w:pPr>
      <w:bookmarkStart w:id="17" w:name="_Toc12690"/>
      <w:r>
        <w:rPr>
          <w:rFonts w:hint="eastAsia" w:ascii="楷体" w:hAnsi="楷体" w:eastAsia="楷体" w:cs="楷体"/>
          <w:b/>
          <w:bCs/>
          <w:sz w:val="32"/>
          <w:szCs w:val="32"/>
          <w:highlight w:val="none"/>
          <w:lang w:val="en-US" w:eastAsia="zh-CN"/>
        </w:rPr>
        <w:t>(四)项目效益情况</w:t>
      </w:r>
      <w:bookmarkEnd w:id="17"/>
    </w:p>
    <w:p>
      <w:pPr>
        <w:keepNext w:val="0"/>
        <w:keepLines w:val="0"/>
        <w:pageBreakBefore w:val="0"/>
        <w:widowControl w:val="0"/>
        <w:shd w:val="clear"/>
        <w:kinsoku/>
        <w:wordWrap/>
        <w:overflowPunct/>
        <w:topLinePunct w:val="0"/>
        <w:autoSpaceDE/>
        <w:autoSpaceDN/>
        <w:bidi w:val="0"/>
        <w:adjustRightInd/>
        <w:snapToGrid/>
        <w:spacing w:line="360" w:lineRule="auto"/>
        <w:ind w:left="0" w:leftChars="0" w:right="0" w:rightChars="0"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项目支出效益包括经济效益、社会效益、可持续影响和满意度。该项满分为</w:t>
      </w:r>
      <w:r>
        <w:rPr>
          <w:rFonts w:hint="eastAsia" w:ascii="仿宋" w:hAnsi="仿宋" w:eastAsia="仿宋" w:cs="仿宋"/>
          <w:kern w:val="2"/>
          <w:sz w:val="32"/>
          <w:szCs w:val="32"/>
          <w:highlight w:val="none"/>
          <w:lang w:val="en-US" w:eastAsia="zh-CN" w:bidi="ar-SA"/>
        </w:rPr>
        <w:t>25分，扣4分，得分21</w:t>
      </w:r>
      <w:r>
        <w:rPr>
          <w:rFonts w:hint="eastAsia" w:ascii="仿宋" w:hAnsi="仿宋" w:eastAsia="仿宋" w:cs="仿宋"/>
          <w:sz w:val="32"/>
          <w:szCs w:val="32"/>
          <w:highlight w:val="none"/>
          <w:lang w:val="en-US" w:eastAsia="zh-CN"/>
        </w:rPr>
        <w:t>分。</w:t>
      </w:r>
    </w:p>
    <w:p>
      <w:pPr>
        <w:keepNext w:val="0"/>
        <w:keepLines w:val="0"/>
        <w:pageBreakBefore w:val="0"/>
        <w:widowControl w:val="0"/>
        <w:shd w:val="clear"/>
        <w:kinsoku/>
        <w:wordWrap/>
        <w:overflowPunct/>
        <w:topLinePunct w:val="0"/>
        <w:autoSpaceDE/>
        <w:autoSpaceDN/>
        <w:bidi w:val="0"/>
        <w:adjustRightInd/>
        <w:snapToGrid/>
        <w:spacing w:line="360" w:lineRule="auto"/>
        <w:ind w:left="0" w:leftChars="0" w:firstLine="640" w:firstLineChars="200"/>
        <w:textAlignment w:val="auto"/>
        <w:rPr>
          <w:rFonts w:hint="eastAsia" w:ascii="仿宋" w:hAnsi="仿宋" w:eastAsia="仿宋" w:cs="仿宋"/>
          <w:spacing w:val="-8"/>
          <w:sz w:val="32"/>
          <w:szCs w:val="32"/>
          <w:highlight w:val="none"/>
          <w:lang w:eastAsia="zh-CN"/>
        </w:rPr>
      </w:pPr>
      <w:r>
        <w:rPr>
          <w:rFonts w:hint="eastAsia" w:ascii="仿宋" w:hAnsi="仿宋" w:eastAsia="仿宋" w:cs="仿宋"/>
          <w:sz w:val="32"/>
          <w:szCs w:val="32"/>
          <w:highlight w:val="none"/>
          <w:lang w:val="en-US" w:eastAsia="zh-CN"/>
        </w:rPr>
        <w:t>邵阳经开区配套区公共基础设施项目</w:t>
      </w:r>
      <w:r>
        <w:rPr>
          <w:rFonts w:hint="eastAsia" w:ascii="仿宋" w:hAnsi="仿宋" w:eastAsia="仿宋" w:cs="仿宋"/>
          <w:spacing w:val="-8"/>
          <w:sz w:val="32"/>
          <w:szCs w:val="32"/>
          <w:highlight w:val="none"/>
          <w:lang w:eastAsia="zh-CN"/>
        </w:rPr>
        <w:t>现暂未完成结算，对公司而言，未取得经营收入，暂未产生直接的经济效益。但通过建设并移交标准厂房和配套设施等给三一公司投入使用，项目实施产生了较好的经济效益、社会效益和可持续影响</w:t>
      </w:r>
    </w:p>
    <w:p>
      <w:pPr>
        <w:keepNext w:val="0"/>
        <w:keepLines w:val="0"/>
        <w:pageBreakBefore w:val="0"/>
        <w:shd w:val="clear"/>
        <w:tabs>
          <w:tab w:val="left" w:pos="1560"/>
        </w:tabs>
        <w:kinsoku/>
        <w:wordWrap/>
        <w:overflowPunct/>
        <w:topLinePunct w:val="0"/>
        <w:autoSpaceDE/>
        <w:autoSpaceDN/>
        <w:bidi w:val="0"/>
        <w:adjustRightInd/>
        <w:snapToGrid/>
        <w:spacing w:line="360" w:lineRule="auto"/>
        <w:ind w:left="0" w:firstLine="643" w:firstLineChars="200"/>
        <w:textAlignment w:val="auto"/>
        <w:rPr>
          <w:rFonts w:hint="eastAsia" w:ascii="仿宋" w:hAnsi="仿宋" w:eastAsia="仿宋" w:cs="仿宋"/>
          <w:b/>
          <w:sz w:val="32"/>
          <w:szCs w:val="32"/>
          <w:highlight w:val="none"/>
          <w:lang w:val="en-US" w:eastAsia="zh-CN"/>
        </w:rPr>
      </w:pPr>
      <w:r>
        <w:rPr>
          <w:rFonts w:hint="eastAsia" w:ascii="仿宋" w:hAnsi="仿宋" w:eastAsia="仿宋" w:cs="仿宋"/>
          <w:b/>
          <w:sz w:val="32"/>
          <w:szCs w:val="32"/>
          <w:highlight w:val="none"/>
          <w:lang w:val="en-US" w:eastAsia="zh-CN"/>
        </w:rPr>
        <w:t>1</w:t>
      </w:r>
      <w:r>
        <w:rPr>
          <w:rFonts w:hint="eastAsia" w:ascii="仿宋" w:hAnsi="仿宋" w:eastAsia="仿宋" w:cs="仿宋"/>
          <w:b/>
          <w:sz w:val="32"/>
          <w:szCs w:val="32"/>
          <w:highlight w:val="none"/>
        </w:rPr>
        <w:t>.</w:t>
      </w:r>
      <w:r>
        <w:rPr>
          <w:rFonts w:hint="eastAsia" w:ascii="仿宋" w:hAnsi="仿宋" w:eastAsia="仿宋" w:cs="仿宋"/>
          <w:b/>
          <w:sz w:val="32"/>
          <w:szCs w:val="32"/>
          <w:highlight w:val="none"/>
          <w:lang w:eastAsia="zh-CN"/>
        </w:rPr>
        <w:t>经济效益</w:t>
      </w:r>
    </w:p>
    <w:p>
      <w:pPr>
        <w:keepNext w:val="0"/>
        <w:keepLines w:val="0"/>
        <w:pageBreakBefore w:val="0"/>
        <w:widowControl/>
        <w:shd w:val="clear"/>
        <w:kinsoku/>
        <w:wordWrap/>
        <w:overflowPunct/>
        <w:topLinePunct w:val="0"/>
        <w:autoSpaceDE/>
        <w:autoSpaceDN/>
        <w:bidi w:val="0"/>
        <w:adjustRightInd/>
        <w:snapToGrid/>
        <w:spacing w:line="360" w:lineRule="auto"/>
        <w:ind w:left="0" w:firstLine="640" w:firstLineChars="200"/>
        <w:jc w:val="left"/>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rPr>
        <w:t>本项目的建设是按照市场经济规律，因地制宜进行开发建设的，是三一重工湖南汽车制造有限公司推行持续发展的重要举措。项目区分为南北厂区2个部分，北厂区占地200亩，建筑面积5万平方米。南厂区占地约165亩，厂房建筑面积6.58万平米，用于渣土车装配及整车、三一专汽货箱和副车架结构件生产。</w:t>
      </w:r>
      <w:r>
        <w:rPr>
          <w:rFonts w:hint="eastAsia" w:ascii="仿宋" w:hAnsi="仿宋" w:eastAsia="仿宋" w:cs="仿宋"/>
          <w:sz w:val="32"/>
          <w:szCs w:val="32"/>
          <w:highlight w:val="none"/>
          <w:lang w:eastAsia="zh-CN"/>
        </w:rPr>
        <w:t>三一</w:t>
      </w:r>
      <w:r>
        <w:rPr>
          <w:rFonts w:hint="eastAsia" w:ascii="仿宋" w:hAnsi="仿宋" w:eastAsia="仿宋" w:cs="仿宋"/>
          <w:sz w:val="32"/>
          <w:szCs w:val="32"/>
          <w:highlight w:val="none"/>
        </w:rPr>
        <w:t>公司拥有先进的涂装生产线、底盘装配生产线和整车检测线。目前，南北厂区升级改造14条生产线已全线投产，并成为国内技术领先的特种工程机械整车装备生产标杆工厂。</w:t>
      </w:r>
      <w:r>
        <w:rPr>
          <w:rFonts w:hint="eastAsia" w:ascii="仿宋" w:hAnsi="仿宋" w:eastAsia="仿宋" w:cs="仿宋"/>
          <w:sz w:val="32"/>
          <w:szCs w:val="32"/>
          <w:highlight w:val="none"/>
          <w:lang w:val="en-US" w:eastAsia="zh-CN"/>
        </w:rPr>
        <w:t>三一南北厂区顺利投入使用后，2020年三一专用汽车有限责任公司年产值由原来的50亿元提升至年产值100亿元，2021年产值147.15亿元，实现税收4.03亿元。</w:t>
      </w:r>
    </w:p>
    <w:p>
      <w:pPr>
        <w:keepNext w:val="0"/>
        <w:keepLines w:val="0"/>
        <w:pageBreakBefore w:val="0"/>
        <w:shd w:val="clear"/>
        <w:tabs>
          <w:tab w:val="left" w:pos="1560"/>
        </w:tabs>
        <w:kinsoku/>
        <w:wordWrap/>
        <w:overflowPunct/>
        <w:topLinePunct w:val="0"/>
        <w:autoSpaceDE/>
        <w:autoSpaceDN/>
        <w:bidi w:val="0"/>
        <w:adjustRightInd/>
        <w:snapToGrid/>
        <w:spacing w:line="360" w:lineRule="auto"/>
        <w:ind w:left="0" w:firstLine="640" w:firstLineChars="200"/>
        <w:textAlignment w:val="auto"/>
        <w:rPr>
          <w:rFonts w:hint="eastAsia" w:ascii="仿宋" w:hAnsi="仿宋" w:eastAsia="仿宋" w:cs="仿宋"/>
          <w:b/>
          <w:sz w:val="32"/>
          <w:szCs w:val="32"/>
          <w:highlight w:val="none"/>
        </w:rPr>
      </w:pPr>
      <w:r>
        <w:rPr>
          <w:rFonts w:hint="eastAsia" w:ascii="仿宋" w:hAnsi="仿宋" w:eastAsia="仿宋" w:cs="仿宋"/>
          <w:sz w:val="32"/>
          <w:szCs w:val="32"/>
          <w:highlight w:val="none"/>
        </w:rPr>
        <w:t>项目的建设有利于推进邵阳市汽车配件业的发展，打造宜商、宜业的标准化厂区，将有效促进三一重工湖南汽车制造有限公司的发展，在服务邵阳市汽车配件业的同时，还能吸引更多的企业、商家前来投资。</w:t>
      </w:r>
    </w:p>
    <w:p>
      <w:pPr>
        <w:keepNext w:val="0"/>
        <w:keepLines w:val="0"/>
        <w:pageBreakBefore w:val="0"/>
        <w:shd w:val="clear"/>
        <w:tabs>
          <w:tab w:val="left" w:pos="1560"/>
        </w:tabs>
        <w:kinsoku/>
        <w:wordWrap/>
        <w:overflowPunct/>
        <w:topLinePunct w:val="0"/>
        <w:autoSpaceDE/>
        <w:autoSpaceDN/>
        <w:bidi w:val="0"/>
        <w:adjustRightInd/>
        <w:snapToGrid/>
        <w:spacing w:line="360" w:lineRule="auto"/>
        <w:ind w:left="0" w:firstLine="643" w:firstLineChars="200"/>
        <w:textAlignment w:val="auto"/>
        <w:rPr>
          <w:rFonts w:hint="eastAsia" w:ascii="仿宋" w:hAnsi="仿宋" w:eastAsia="仿宋" w:cs="仿宋"/>
          <w:b/>
          <w:sz w:val="32"/>
          <w:szCs w:val="32"/>
          <w:highlight w:val="none"/>
          <w:lang w:eastAsia="zh-CN"/>
        </w:rPr>
      </w:pPr>
      <w:r>
        <w:rPr>
          <w:rFonts w:hint="eastAsia" w:ascii="仿宋" w:hAnsi="仿宋" w:eastAsia="仿宋" w:cs="仿宋"/>
          <w:b/>
          <w:sz w:val="32"/>
          <w:szCs w:val="32"/>
          <w:highlight w:val="none"/>
          <w:lang w:val="en-US" w:eastAsia="zh-CN"/>
        </w:rPr>
        <w:t>2</w:t>
      </w:r>
      <w:r>
        <w:rPr>
          <w:rFonts w:hint="eastAsia" w:ascii="仿宋" w:hAnsi="仿宋" w:eastAsia="仿宋" w:cs="仿宋"/>
          <w:b/>
          <w:sz w:val="32"/>
          <w:szCs w:val="32"/>
          <w:highlight w:val="none"/>
        </w:rPr>
        <w:t xml:space="preserve">. </w:t>
      </w:r>
      <w:r>
        <w:rPr>
          <w:rFonts w:hint="eastAsia" w:ascii="仿宋" w:hAnsi="仿宋" w:eastAsia="仿宋" w:cs="仿宋"/>
          <w:b/>
          <w:sz w:val="32"/>
          <w:szCs w:val="32"/>
          <w:highlight w:val="none"/>
          <w:lang w:eastAsia="zh-CN"/>
        </w:rPr>
        <w:t>社会效益</w:t>
      </w:r>
    </w:p>
    <w:p>
      <w:pPr>
        <w:keepNext w:val="0"/>
        <w:keepLines w:val="0"/>
        <w:pageBreakBefore w:val="0"/>
        <w:shd w:val="clear"/>
        <w:kinsoku/>
        <w:wordWrap/>
        <w:overflowPunct/>
        <w:topLinePunct w:val="0"/>
        <w:autoSpaceDE/>
        <w:autoSpaceDN/>
        <w:bidi w:val="0"/>
        <w:adjustRightInd/>
        <w:snapToGrid/>
        <w:spacing w:line="360" w:lineRule="auto"/>
        <w:ind w:left="0" w:firstLine="640" w:firstLineChars="200"/>
        <w:textAlignment w:val="auto"/>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rPr>
        <w:t>项目的建设符合邵阳市城市总体发展规划，建设的必要性明确。为加快经济开发区、特色工业园区特别是湘商产业园区发展，突出园区提质升级，引导特色优势产业入园发展和集聚发展，形成多个基础扎实、实力雄厚、特色明显的工业经济新增长点，本项目在邵阳经开区</w:t>
      </w:r>
      <w:r>
        <w:rPr>
          <w:rFonts w:hint="eastAsia" w:ascii="仿宋" w:hAnsi="仿宋" w:eastAsia="仿宋" w:cs="仿宋"/>
          <w:sz w:val="32"/>
          <w:szCs w:val="32"/>
          <w:highlight w:val="none"/>
          <w:lang w:eastAsia="zh-CN"/>
        </w:rPr>
        <w:t>建设</w:t>
      </w:r>
      <w:r>
        <w:rPr>
          <w:rFonts w:hint="eastAsia" w:ascii="仿宋" w:hAnsi="仿宋" w:eastAsia="仿宋" w:cs="仿宋"/>
          <w:sz w:val="32"/>
          <w:szCs w:val="32"/>
          <w:highlight w:val="none"/>
        </w:rPr>
        <w:t>引进湖南汽车制造有限责任公司的工程汽车零部件生产基地，形成优势产业，吸引更多配套企业入驻</w:t>
      </w:r>
      <w:r>
        <w:rPr>
          <w:rFonts w:hint="eastAsia" w:ascii="仿宋" w:hAnsi="仿宋" w:eastAsia="仿宋" w:cs="仿宋"/>
          <w:sz w:val="32"/>
          <w:szCs w:val="32"/>
          <w:highlight w:val="none"/>
          <w:lang w:eastAsia="zh-CN"/>
        </w:rPr>
        <w:t>。</w:t>
      </w:r>
    </w:p>
    <w:p>
      <w:pPr>
        <w:keepNext w:val="0"/>
        <w:keepLines w:val="0"/>
        <w:pageBreakBefore w:val="0"/>
        <w:widowControl/>
        <w:shd w:val="clear"/>
        <w:kinsoku/>
        <w:wordWrap/>
        <w:overflowPunct/>
        <w:topLinePunct w:val="0"/>
        <w:autoSpaceDE/>
        <w:autoSpaceDN/>
        <w:bidi w:val="0"/>
        <w:adjustRightInd/>
        <w:snapToGrid/>
        <w:spacing w:line="360" w:lineRule="auto"/>
        <w:ind w:left="0" w:firstLine="640" w:firstLineChars="200"/>
        <w:jc w:val="left"/>
        <w:textAlignment w:val="auto"/>
        <w:rPr>
          <w:rFonts w:hint="eastAsia" w:ascii="仿宋" w:hAnsi="仿宋" w:eastAsia="仿宋" w:cs="仿宋"/>
          <w:b/>
          <w:kern w:val="2"/>
          <w:sz w:val="32"/>
          <w:szCs w:val="32"/>
          <w:highlight w:val="none"/>
          <w:lang w:val="en-US" w:eastAsia="zh-CN" w:bidi="ar-SA"/>
        </w:rPr>
      </w:pPr>
      <w:r>
        <w:rPr>
          <w:rFonts w:hint="eastAsia" w:ascii="仿宋" w:hAnsi="仿宋" w:eastAsia="仿宋" w:cs="仿宋"/>
          <w:sz w:val="32"/>
          <w:szCs w:val="32"/>
          <w:highlight w:val="none"/>
        </w:rPr>
        <w:t xml:space="preserve"> </w:t>
      </w:r>
      <w:r>
        <w:rPr>
          <w:rFonts w:hint="eastAsia" w:ascii="仿宋" w:hAnsi="仿宋" w:eastAsia="仿宋" w:cs="仿宋"/>
          <w:b/>
          <w:kern w:val="2"/>
          <w:sz w:val="32"/>
          <w:szCs w:val="32"/>
          <w:highlight w:val="none"/>
          <w:lang w:val="en-US" w:eastAsia="zh-CN" w:bidi="ar-SA"/>
        </w:rPr>
        <w:t>3.可持续影响力</w:t>
      </w:r>
    </w:p>
    <w:p>
      <w:pPr>
        <w:pStyle w:val="5"/>
        <w:keepNext w:val="0"/>
        <w:keepLines w:val="0"/>
        <w:pageBreakBefore w:val="0"/>
        <w:numPr>
          <w:ilvl w:val="0"/>
          <w:numId w:val="0"/>
        </w:numPr>
        <w:shd w:val="clear"/>
        <w:kinsoku/>
        <w:wordWrap/>
        <w:overflowPunct/>
        <w:topLinePunct w:val="0"/>
        <w:autoSpaceDE/>
        <w:autoSpaceDN/>
        <w:bidi w:val="0"/>
        <w:adjustRightInd/>
        <w:snapToGrid/>
        <w:spacing w:line="360" w:lineRule="auto"/>
        <w:ind w:left="0" w:firstLine="640" w:firstLineChars="200"/>
        <w:textAlignment w:val="auto"/>
        <w:rPr>
          <w:rFonts w:hint="eastAsia" w:ascii="仿宋" w:hAnsi="仿宋" w:eastAsia="仿宋" w:cs="仿宋"/>
          <w:sz w:val="32"/>
          <w:szCs w:val="32"/>
          <w:highlight w:val="none"/>
        </w:rPr>
      </w:pPr>
      <w:r>
        <w:rPr>
          <w:rFonts w:hint="eastAsia" w:ascii="仿宋" w:hAnsi="仿宋" w:eastAsia="仿宋" w:cs="仿宋"/>
          <w:b w:val="0"/>
          <w:bCs/>
          <w:kern w:val="2"/>
          <w:sz w:val="32"/>
          <w:szCs w:val="32"/>
          <w:highlight w:val="none"/>
          <w:lang w:val="en-US" w:eastAsia="zh-CN" w:bidi="ar-SA"/>
        </w:rPr>
        <w:t>项目建设有利于增加区域就业机会，解决下岗职工以及周边富余劳动力就业需求</w:t>
      </w:r>
      <w:r>
        <w:rPr>
          <w:rFonts w:hint="eastAsia" w:ascii="仿宋" w:hAnsi="仿宋" w:eastAsia="仿宋" w:cs="仿宋"/>
          <w:b/>
          <w:kern w:val="2"/>
          <w:sz w:val="32"/>
          <w:szCs w:val="32"/>
          <w:highlight w:val="none"/>
          <w:lang w:val="en-US" w:eastAsia="zh-CN" w:bidi="ar-SA"/>
        </w:rPr>
        <w:t>。</w:t>
      </w:r>
      <w:r>
        <w:rPr>
          <w:rFonts w:hint="eastAsia" w:ascii="仿宋" w:hAnsi="仿宋" w:eastAsia="仿宋" w:cs="仿宋"/>
          <w:bCs/>
          <w:sz w:val="32"/>
          <w:szCs w:val="32"/>
          <w:highlight w:val="none"/>
        </w:rPr>
        <w:t>该项目</w:t>
      </w:r>
      <w:r>
        <w:rPr>
          <w:rFonts w:hint="eastAsia" w:ascii="仿宋" w:hAnsi="仿宋" w:eastAsia="仿宋" w:cs="仿宋"/>
          <w:sz w:val="32"/>
          <w:szCs w:val="32"/>
          <w:highlight w:val="none"/>
        </w:rPr>
        <w:t>建成后，随着招商引资的顺利进行，园区内企业数量将逐渐增多，对劳动力需求将成较大数量级的态势增长。为下岗失业人员以及项目区域周边富余劳动力提供了较为优越的就业机会，能够较大程度的解决富余劳动力的就业问题，缓解经开区的就业压力，提高居民生活水平，增强人民群众幸福感。</w:t>
      </w:r>
    </w:p>
    <w:p>
      <w:pPr>
        <w:keepNext w:val="0"/>
        <w:keepLines w:val="0"/>
        <w:pageBreakBefore w:val="0"/>
        <w:widowControl w:val="0"/>
        <w:shd w:val="clear"/>
        <w:kinsoku/>
        <w:wordWrap/>
        <w:overflowPunct/>
        <w:topLinePunct w:val="0"/>
        <w:autoSpaceDE/>
        <w:autoSpaceDN/>
        <w:bidi w:val="0"/>
        <w:adjustRightInd/>
        <w:snapToGrid/>
        <w:spacing w:line="360" w:lineRule="auto"/>
        <w:ind w:left="0" w:leftChars="0" w:firstLine="643" w:firstLineChars="200"/>
        <w:textAlignment w:val="auto"/>
        <w:rPr>
          <w:rFonts w:hint="eastAsia" w:ascii="仿宋" w:hAnsi="仿宋" w:eastAsia="仿宋" w:cs="仿宋"/>
          <w:b/>
          <w:bCs/>
          <w:sz w:val="32"/>
          <w:szCs w:val="32"/>
          <w:highlight w:val="none"/>
          <w:lang w:val="en-US" w:eastAsia="zh-CN"/>
        </w:rPr>
      </w:pPr>
      <w:r>
        <w:rPr>
          <w:rFonts w:hint="eastAsia" w:ascii="仿宋" w:hAnsi="仿宋" w:eastAsia="仿宋" w:cs="仿宋"/>
          <w:b/>
          <w:bCs/>
          <w:sz w:val="32"/>
          <w:szCs w:val="32"/>
          <w:highlight w:val="none"/>
          <w:lang w:val="en-US" w:eastAsia="zh-CN"/>
        </w:rPr>
        <w:t>4.满意度</w:t>
      </w:r>
    </w:p>
    <w:p>
      <w:pPr>
        <w:keepNext w:val="0"/>
        <w:keepLines w:val="0"/>
        <w:pageBreakBefore w:val="0"/>
        <w:widowControl w:val="0"/>
        <w:shd w:val="clear"/>
        <w:kinsoku/>
        <w:wordWrap/>
        <w:overflowPunct/>
        <w:topLinePunct w:val="0"/>
        <w:autoSpaceDE/>
        <w:autoSpaceDN/>
        <w:bidi w:val="0"/>
        <w:adjustRightInd/>
        <w:snapToGrid/>
        <w:spacing w:line="360" w:lineRule="auto"/>
        <w:ind w:left="0" w:leftChars="0" w:firstLine="640" w:firstLineChars="200"/>
        <w:textAlignment w:val="auto"/>
        <w:rPr>
          <w:rFonts w:hint="eastAsia" w:ascii="仿宋" w:hAnsi="仿宋" w:eastAsia="仿宋" w:cs="仿宋"/>
          <w:spacing w:val="-8"/>
          <w:sz w:val="32"/>
          <w:szCs w:val="32"/>
          <w:highlight w:val="none"/>
          <w:lang w:eastAsia="zh-CN"/>
        </w:rPr>
      </w:pPr>
      <w:r>
        <w:rPr>
          <w:rFonts w:hint="eastAsia" w:ascii="仿宋" w:hAnsi="仿宋" w:eastAsia="仿宋" w:cs="仿宋"/>
          <w:sz w:val="32"/>
          <w:szCs w:val="32"/>
          <w:highlight w:val="none"/>
        </w:rPr>
        <w:t>本次现场</w:t>
      </w:r>
      <w:r>
        <w:rPr>
          <w:rFonts w:hint="eastAsia" w:ascii="仿宋" w:hAnsi="仿宋" w:eastAsia="仿宋" w:cs="仿宋"/>
          <w:sz w:val="32"/>
          <w:szCs w:val="32"/>
          <w:highlight w:val="none"/>
          <w:lang w:val="en-US" w:eastAsia="zh-CN"/>
        </w:rPr>
        <w:t>评价</w:t>
      </w:r>
      <w:r>
        <w:rPr>
          <w:rFonts w:hint="eastAsia" w:ascii="仿宋" w:hAnsi="仿宋" w:eastAsia="仿宋" w:cs="仿宋"/>
          <w:sz w:val="32"/>
          <w:szCs w:val="32"/>
          <w:highlight w:val="none"/>
        </w:rPr>
        <w:t>发放调查问卷30份，被调查对象满意度在</w:t>
      </w:r>
      <w:r>
        <w:rPr>
          <w:rFonts w:hint="eastAsia" w:ascii="仿宋" w:hAnsi="仿宋" w:eastAsia="仿宋" w:cs="仿宋"/>
          <w:sz w:val="32"/>
          <w:szCs w:val="32"/>
          <w:highlight w:val="none"/>
          <w:lang w:val="en-US" w:eastAsia="zh-CN"/>
        </w:rPr>
        <w:t>94</w:t>
      </w:r>
      <w:r>
        <w:rPr>
          <w:rFonts w:hint="eastAsia" w:ascii="仿宋" w:hAnsi="仿宋" w:eastAsia="仿宋" w:cs="仿宋"/>
          <w:sz w:val="32"/>
          <w:szCs w:val="32"/>
          <w:highlight w:val="none"/>
        </w:rPr>
        <w:t>%。</w:t>
      </w:r>
    </w:p>
    <w:p>
      <w:pPr>
        <w:keepNext w:val="0"/>
        <w:keepLines w:val="0"/>
        <w:pageBreakBefore w:val="0"/>
        <w:widowControl w:val="0"/>
        <w:shd w:val="clear"/>
        <w:kinsoku/>
        <w:wordWrap/>
        <w:overflowPunct/>
        <w:topLinePunct w:val="0"/>
        <w:autoSpaceDE/>
        <w:autoSpaceDN/>
        <w:bidi w:val="0"/>
        <w:adjustRightInd/>
        <w:snapToGrid/>
        <w:spacing w:line="360" w:lineRule="auto"/>
        <w:ind w:firstLine="640" w:firstLineChars="200"/>
        <w:textAlignment w:val="auto"/>
        <w:outlineLvl w:val="0"/>
        <w:rPr>
          <w:rFonts w:hint="eastAsia" w:ascii="黑体" w:hAnsi="黑体" w:eastAsia="黑体" w:cs="黑体"/>
          <w:kern w:val="0"/>
          <w:sz w:val="32"/>
          <w:szCs w:val="32"/>
          <w:highlight w:val="none"/>
          <w:lang w:eastAsia="zh-CN"/>
        </w:rPr>
      </w:pPr>
      <w:bookmarkStart w:id="18" w:name="_Toc390267055"/>
      <w:bookmarkStart w:id="19" w:name="_Toc390096931"/>
      <w:bookmarkStart w:id="20" w:name="_Toc24241"/>
      <w:r>
        <w:rPr>
          <w:rFonts w:hint="eastAsia" w:ascii="黑体" w:hAnsi="黑体" w:eastAsia="黑体" w:cs="黑体"/>
          <w:kern w:val="0"/>
          <w:sz w:val="32"/>
          <w:szCs w:val="32"/>
          <w:highlight w:val="none"/>
          <w:lang w:eastAsia="zh-CN"/>
        </w:rPr>
        <w:t>五</w:t>
      </w:r>
      <w:r>
        <w:rPr>
          <w:rFonts w:hint="eastAsia" w:ascii="黑体" w:hAnsi="黑体" w:eastAsia="黑体" w:cs="黑体"/>
          <w:kern w:val="0"/>
          <w:sz w:val="32"/>
          <w:szCs w:val="32"/>
          <w:highlight w:val="none"/>
        </w:rPr>
        <w:t>、项目主要经验、存在的问题</w:t>
      </w:r>
      <w:bookmarkEnd w:id="18"/>
      <w:bookmarkEnd w:id="19"/>
      <w:r>
        <w:rPr>
          <w:rFonts w:hint="eastAsia" w:ascii="黑体" w:hAnsi="黑体" w:eastAsia="黑体" w:cs="黑体"/>
          <w:kern w:val="0"/>
          <w:sz w:val="32"/>
          <w:szCs w:val="32"/>
          <w:highlight w:val="none"/>
          <w:lang w:eastAsia="zh-CN"/>
        </w:rPr>
        <w:t>及建议</w:t>
      </w:r>
      <w:bookmarkEnd w:id="20"/>
    </w:p>
    <w:p>
      <w:pPr>
        <w:keepNext w:val="0"/>
        <w:keepLines w:val="0"/>
        <w:pageBreakBefore w:val="0"/>
        <w:widowControl w:val="0"/>
        <w:shd w:val="clear"/>
        <w:kinsoku/>
        <w:wordWrap/>
        <w:overflowPunct/>
        <w:topLinePunct w:val="0"/>
        <w:autoSpaceDE/>
        <w:autoSpaceDN/>
        <w:bidi w:val="0"/>
        <w:adjustRightInd/>
        <w:snapToGrid/>
        <w:spacing w:line="360" w:lineRule="auto"/>
        <w:ind w:firstLine="643" w:firstLineChars="200"/>
        <w:textAlignment w:val="auto"/>
        <w:outlineLvl w:val="1"/>
        <w:rPr>
          <w:rFonts w:hint="eastAsia" w:ascii="楷体" w:hAnsi="楷体" w:eastAsia="楷体" w:cs="楷体"/>
          <w:b/>
          <w:bCs/>
          <w:sz w:val="32"/>
          <w:szCs w:val="32"/>
          <w:highlight w:val="none"/>
        </w:rPr>
      </w:pPr>
      <w:bookmarkStart w:id="21" w:name="_Toc23434"/>
      <w:r>
        <w:rPr>
          <w:rFonts w:hint="eastAsia" w:ascii="楷体" w:hAnsi="楷体" w:eastAsia="楷体" w:cs="楷体"/>
          <w:b/>
          <w:bCs/>
          <w:sz w:val="32"/>
          <w:szCs w:val="32"/>
          <w:highlight w:val="none"/>
        </w:rPr>
        <w:t>（一）项目主要经验</w:t>
      </w:r>
      <w:bookmarkEnd w:id="21"/>
    </w:p>
    <w:p>
      <w:pPr>
        <w:keepNext w:val="0"/>
        <w:keepLines w:val="0"/>
        <w:pageBreakBefore w:val="0"/>
        <w:widowControl w:val="0"/>
        <w:shd w:val="clear"/>
        <w:kinsoku/>
        <w:wordWrap/>
        <w:overflowPunct/>
        <w:topLinePunct w:val="0"/>
        <w:autoSpaceDE/>
        <w:autoSpaceDN/>
        <w:bidi w:val="0"/>
        <w:adjustRightInd/>
        <w:snapToGrid/>
        <w:spacing w:line="360" w:lineRule="auto"/>
        <w:ind w:firstLine="643" w:firstLineChars="200"/>
        <w:textAlignment w:val="auto"/>
        <w:rPr>
          <w:rFonts w:hint="eastAsia" w:ascii="仿宋" w:hAnsi="仿宋" w:eastAsia="仿宋" w:cs="仿宋"/>
          <w:sz w:val="32"/>
          <w:szCs w:val="32"/>
          <w:highlight w:val="none"/>
        </w:rPr>
      </w:pPr>
      <w:r>
        <w:rPr>
          <w:rFonts w:hint="eastAsia" w:ascii="仿宋" w:hAnsi="仿宋" w:eastAsia="仿宋" w:cs="仿宋"/>
          <w:b/>
          <w:bCs/>
          <w:sz w:val="32"/>
          <w:szCs w:val="32"/>
          <w:highlight w:val="none"/>
          <w:lang w:val="en-US" w:eastAsia="zh-CN"/>
        </w:rPr>
        <w:t>1.</w:t>
      </w:r>
      <w:r>
        <w:rPr>
          <w:rFonts w:hint="eastAsia" w:ascii="仿宋" w:hAnsi="仿宋" w:eastAsia="仿宋" w:cs="仿宋"/>
          <w:b/>
          <w:bCs/>
          <w:sz w:val="32"/>
          <w:szCs w:val="32"/>
          <w:highlight w:val="none"/>
        </w:rPr>
        <w:t>项目的立项、论证符合法律、法规要求，按相关程序操作。做到立项有依据。</w:t>
      </w:r>
    </w:p>
    <w:p>
      <w:pPr>
        <w:keepNext w:val="0"/>
        <w:keepLines w:val="0"/>
        <w:pageBreakBefore w:val="0"/>
        <w:widowControl w:val="0"/>
        <w:shd w:val="clear"/>
        <w:kinsoku/>
        <w:wordWrap/>
        <w:overflowPunct/>
        <w:topLinePunct w:val="0"/>
        <w:autoSpaceDE/>
        <w:autoSpaceDN/>
        <w:bidi w:val="0"/>
        <w:adjustRightInd/>
        <w:snapToGrid/>
        <w:spacing w:line="360" w:lineRule="auto"/>
        <w:ind w:left="0" w:leftChars="0" w:firstLine="643" w:firstLineChars="200"/>
        <w:textAlignment w:val="auto"/>
        <w:rPr>
          <w:rFonts w:hint="eastAsia" w:ascii="仿宋" w:hAnsi="仿宋" w:eastAsia="仿宋" w:cs="仿宋"/>
          <w:sz w:val="32"/>
          <w:szCs w:val="32"/>
          <w:highlight w:val="none"/>
        </w:rPr>
      </w:pPr>
      <w:r>
        <w:rPr>
          <w:rFonts w:hint="eastAsia" w:ascii="仿宋" w:hAnsi="仿宋" w:eastAsia="仿宋" w:cs="仿宋"/>
          <w:b/>
          <w:bCs/>
          <w:sz w:val="32"/>
          <w:szCs w:val="32"/>
          <w:highlight w:val="none"/>
          <w:lang w:val="en-US" w:eastAsia="zh-CN"/>
        </w:rPr>
        <w:t>2.</w:t>
      </w:r>
      <w:r>
        <w:rPr>
          <w:rFonts w:hint="eastAsia" w:ascii="仿宋" w:hAnsi="仿宋" w:eastAsia="仿宋" w:cs="仿宋"/>
          <w:b/>
          <w:bCs/>
          <w:sz w:val="32"/>
          <w:szCs w:val="32"/>
          <w:highlight w:val="none"/>
        </w:rPr>
        <w:t>加强项目管理、确保项目达标。</w:t>
      </w:r>
      <w:r>
        <w:rPr>
          <w:rFonts w:hint="eastAsia" w:ascii="仿宋" w:hAnsi="仿宋" w:eastAsia="仿宋" w:cs="仿宋"/>
          <w:sz w:val="32"/>
          <w:szCs w:val="32"/>
          <w:highlight w:val="none"/>
        </w:rPr>
        <w:t>对项目</w:t>
      </w:r>
      <w:r>
        <w:rPr>
          <w:rFonts w:hint="eastAsia" w:ascii="仿宋" w:hAnsi="仿宋" w:eastAsia="仿宋" w:cs="仿宋"/>
          <w:sz w:val="32"/>
          <w:szCs w:val="32"/>
          <w:highlight w:val="none"/>
          <w:lang w:eastAsia="zh-CN"/>
        </w:rPr>
        <w:t>实施从预算、财评、监理、验收方面严格把关，执行招标程序</w:t>
      </w:r>
      <w:r>
        <w:rPr>
          <w:rFonts w:hint="eastAsia" w:ascii="仿宋" w:hAnsi="仿宋" w:eastAsia="仿宋" w:cs="仿宋"/>
          <w:sz w:val="32"/>
          <w:szCs w:val="32"/>
          <w:highlight w:val="none"/>
        </w:rPr>
        <w:t>。对项目资金做到专款专用，资金拨付程序规范，建设资金根据项目建设进度、质量及合同约定付款方式支付。</w:t>
      </w:r>
    </w:p>
    <w:p>
      <w:pPr>
        <w:keepNext w:val="0"/>
        <w:keepLines w:val="0"/>
        <w:pageBreakBefore w:val="0"/>
        <w:widowControl w:val="0"/>
        <w:shd w:val="clear"/>
        <w:kinsoku/>
        <w:wordWrap/>
        <w:overflowPunct/>
        <w:topLinePunct w:val="0"/>
        <w:autoSpaceDE/>
        <w:autoSpaceDN/>
        <w:bidi w:val="0"/>
        <w:adjustRightInd/>
        <w:snapToGrid/>
        <w:spacing w:line="360" w:lineRule="auto"/>
        <w:ind w:left="0" w:leftChars="0" w:firstLine="643" w:firstLineChars="200"/>
        <w:textAlignment w:val="auto"/>
        <w:outlineLvl w:val="1"/>
        <w:rPr>
          <w:rFonts w:hint="eastAsia" w:ascii="楷体" w:hAnsi="楷体" w:eastAsia="楷体" w:cs="楷体"/>
          <w:b/>
          <w:bCs/>
          <w:sz w:val="32"/>
          <w:szCs w:val="32"/>
          <w:highlight w:val="none"/>
        </w:rPr>
      </w:pPr>
      <w:bookmarkStart w:id="22" w:name="_Toc6772"/>
      <w:r>
        <w:rPr>
          <w:rFonts w:hint="eastAsia" w:ascii="楷体" w:hAnsi="楷体" w:eastAsia="楷体" w:cs="楷体"/>
          <w:b/>
          <w:bCs/>
          <w:sz w:val="32"/>
          <w:szCs w:val="32"/>
          <w:highlight w:val="none"/>
        </w:rPr>
        <w:t>（二）存在的问题</w:t>
      </w:r>
      <w:bookmarkEnd w:id="22"/>
    </w:p>
    <w:p>
      <w:pPr>
        <w:keepNext w:val="0"/>
        <w:keepLines w:val="0"/>
        <w:pageBreakBefore w:val="0"/>
        <w:widowControl w:val="0"/>
        <w:shd w:val="clear"/>
        <w:kinsoku/>
        <w:wordWrap/>
        <w:overflowPunct/>
        <w:topLinePunct w:val="0"/>
        <w:autoSpaceDE/>
        <w:autoSpaceDN/>
        <w:bidi w:val="0"/>
        <w:adjustRightInd/>
        <w:snapToGrid/>
        <w:spacing w:line="360" w:lineRule="auto"/>
        <w:ind w:left="0" w:leftChars="0" w:firstLine="643" w:firstLineChars="200"/>
        <w:textAlignment w:val="auto"/>
        <w:outlineLvl w:val="2"/>
        <w:rPr>
          <w:rFonts w:hint="eastAsia" w:ascii="仿宋" w:hAnsi="仿宋" w:eastAsia="仿宋" w:cs="仿宋"/>
          <w:b/>
          <w:bCs/>
          <w:sz w:val="32"/>
          <w:szCs w:val="32"/>
          <w:highlight w:val="none"/>
          <w:lang w:val="en-US" w:eastAsia="zh-CN"/>
        </w:rPr>
      </w:pPr>
      <w:bookmarkStart w:id="23" w:name="_Toc21507"/>
      <w:r>
        <w:rPr>
          <w:rFonts w:hint="eastAsia" w:ascii="仿宋" w:hAnsi="仿宋" w:eastAsia="仿宋" w:cs="仿宋"/>
          <w:b/>
          <w:bCs/>
          <w:sz w:val="32"/>
          <w:szCs w:val="32"/>
          <w:highlight w:val="none"/>
        </w:rPr>
        <w:t>1</w:t>
      </w:r>
      <w:r>
        <w:rPr>
          <w:rFonts w:hint="eastAsia" w:ascii="仿宋" w:hAnsi="仿宋" w:eastAsia="仿宋" w:cs="仿宋"/>
          <w:b/>
          <w:bCs/>
          <w:sz w:val="32"/>
          <w:szCs w:val="32"/>
          <w:highlight w:val="none"/>
          <w:lang w:val="en-US" w:eastAsia="zh-CN"/>
        </w:rPr>
        <w:t>.</w:t>
      </w:r>
      <w:r>
        <w:rPr>
          <w:rFonts w:hint="eastAsia" w:ascii="仿宋" w:hAnsi="仿宋" w:eastAsia="仿宋" w:cs="仿宋"/>
          <w:b/>
          <w:bCs/>
          <w:sz w:val="32"/>
          <w:szCs w:val="32"/>
          <w:highlight w:val="none"/>
          <w:lang w:eastAsia="zh-CN"/>
        </w:rPr>
        <w:t>没有清晰、细化、可衡量的绩效目标申报</w:t>
      </w:r>
      <w:bookmarkEnd w:id="23"/>
    </w:p>
    <w:p>
      <w:pPr>
        <w:keepNext w:val="0"/>
        <w:keepLines w:val="0"/>
        <w:pageBreakBefore w:val="0"/>
        <w:widowControl w:val="0"/>
        <w:shd w:val="clear"/>
        <w:kinsoku/>
        <w:wordWrap/>
        <w:overflowPunct/>
        <w:topLinePunct w:val="0"/>
        <w:autoSpaceDE/>
        <w:autoSpaceDN/>
        <w:bidi w:val="0"/>
        <w:adjustRightInd/>
        <w:snapToGrid/>
        <w:spacing w:line="360" w:lineRule="auto"/>
        <w:ind w:left="0" w:leftChars="0" w:firstLine="640" w:firstLineChars="200"/>
        <w:textAlignment w:val="auto"/>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lang w:eastAsia="zh-CN"/>
        </w:rPr>
        <w:t>项目的可研报告、申报批复文件等仅有泛化的建设内容，没有将项目绩效目标细化分解具体的绩效指标，没有通过清晰、可衡量的指标值予以体现。</w:t>
      </w:r>
    </w:p>
    <w:p>
      <w:pPr>
        <w:keepNext w:val="0"/>
        <w:keepLines w:val="0"/>
        <w:pageBreakBefore w:val="0"/>
        <w:widowControl w:val="0"/>
        <w:shd w:val="clear"/>
        <w:kinsoku/>
        <w:wordWrap/>
        <w:overflowPunct/>
        <w:topLinePunct w:val="0"/>
        <w:autoSpaceDE/>
        <w:autoSpaceDN/>
        <w:bidi w:val="0"/>
        <w:adjustRightInd/>
        <w:snapToGrid/>
        <w:spacing w:line="360" w:lineRule="auto"/>
        <w:ind w:left="0" w:leftChars="0" w:firstLine="643" w:firstLineChars="200"/>
        <w:textAlignment w:val="auto"/>
        <w:outlineLvl w:val="2"/>
        <w:rPr>
          <w:rFonts w:hint="eastAsia" w:ascii="仿宋" w:hAnsi="仿宋" w:eastAsia="仿宋" w:cs="仿宋"/>
          <w:b/>
          <w:bCs/>
          <w:sz w:val="32"/>
          <w:szCs w:val="32"/>
          <w:highlight w:val="none"/>
          <w:lang w:val="en-US" w:eastAsia="zh-CN"/>
        </w:rPr>
      </w:pPr>
      <w:bookmarkStart w:id="24" w:name="_Toc31859"/>
      <w:r>
        <w:rPr>
          <w:rFonts w:hint="eastAsia" w:ascii="仿宋" w:hAnsi="仿宋" w:eastAsia="仿宋" w:cs="仿宋"/>
          <w:b/>
          <w:bCs/>
          <w:sz w:val="32"/>
          <w:szCs w:val="32"/>
          <w:highlight w:val="none"/>
          <w:lang w:val="en-US" w:eastAsia="zh-CN"/>
        </w:rPr>
        <w:t>2.</w:t>
      </w:r>
      <w:bookmarkEnd w:id="24"/>
      <w:r>
        <w:rPr>
          <w:rFonts w:hint="eastAsia" w:ascii="仿宋" w:hAnsi="仿宋" w:eastAsia="仿宋" w:cs="仿宋"/>
          <w:b/>
          <w:bCs/>
          <w:sz w:val="32"/>
          <w:szCs w:val="32"/>
          <w:highlight w:val="none"/>
          <w:lang w:val="en-US" w:eastAsia="zh-CN"/>
        </w:rPr>
        <w:t>项目资金支出与项目建设进度不匹配</w:t>
      </w:r>
    </w:p>
    <w:p>
      <w:pPr>
        <w:keepNext w:val="0"/>
        <w:keepLines w:val="0"/>
        <w:pageBreakBefore w:val="0"/>
        <w:widowControl w:val="0"/>
        <w:shd w:val="clear"/>
        <w:kinsoku/>
        <w:wordWrap/>
        <w:overflowPunct/>
        <w:topLinePunct w:val="0"/>
        <w:autoSpaceDE/>
        <w:autoSpaceDN/>
        <w:bidi w:val="0"/>
        <w:adjustRightInd/>
        <w:snapToGrid/>
        <w:spacing w:line="360" w:lineRule="auto"/>
        <w:ind w:left="0" w:leftChars="0"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项目建设已基本完成，建筑工程已在2021年6月完成竣工验收，但工程决算、财评工作在近期才开展，配电工程没有办理工程决算和财评，预算执行率86.81%=（52083.9/60000）×100%。</w:t>
      </w:r>
    </w:p>
    <w:p>
      <w:pPr>
        <w:keepNext w:val="0"/>
        <w:keepLines w:val="0"/>
        <w:pageBreakBefore w:val="0"/>
        <w:widowControl w:val="0"/>
        <w:shd w:val="clear"/>
        <w:kinsoku/>
        <w:wordWrap/>
        <w:overflowPunct/>
        <w:topLinePunct w:val="0"/>
        <w:autoSpaceDE/>
        <w:autoSpaceDN/>
        <w:bidi w:val="0"/>
        <w:adjustRightInd/>
        <w:snapToGrid/>
        <w:spacing w:line="360" w:lineRule="auto"/>
        <w:ind w:left="0" w:leftChars="0" w:firstLine="643" w:firstLineChars="200"/>
        <w:textAlignment w:val="auto"/>
        <w:rPr>
          <w:rFonts w:hint="eastAsia" w:ascii="仿宋" w:hAnsi="仿宋" w:eastAsia="仿宋" w:cs="仿宋"/>
          <w:b/>
          <w:bCs/>
          <w:sz w:val="32"/>
          <w:szCs w:val="32"/>
          <w:highlight w:val="none"/>
          <w:lang w:val="en-US" w:eastAsia="zh-CN"/>
        </w:rPr>
      </w:pPr>
      <w:bookmarkStart w:id="25" w:name="_Toc8252"/>
      <w:r>
        <w:rPr>
          <w:rFonts w:hint="eastAsia" w:ascii="仿宋" w:hAnsi="仿宋" w:eastAsia="仿宋" w:cs="仿宋"/>
          <w:b/>
          <w:bCs/>
          <w:sz w:val="32"/>
          <w:szCs w:val="32"/>
          <w:highlight w:val="none"/>
          <w:lang w:val="en-US" w:eastAsia="zh-CN"/>
        </w:rPr>
        <w:t>3.</w:t>
      </w:r>
      <w:bookmarkEnd w:id="25"/>
      <w:r>
        <w:rPr>
          <w:rFonts w:hint="eastAsia" w:ascii="仿宋" w:hAnsi="仿宋" w:eastAsia="仿宋" w:cs="仿宋"/>
          <w:b/>
          <w:bCs/>
          <w:sz w:val="32"/>
          <w:szCs w:val="32"/>
          <w:highlight w:val="none"/>
          <w:lang w:val="en-US" w:eastAsia="zh-CN"/>
        </w:rPr>
        <w:t>管理制度未有效执行</w:t>
      </w:r>
    </w:p>
    <w:p>
      <w:pPr>
        <w:keepNext w:val="0"/>
        <w:keepLines w:val="0"/>
        <w:pageBreakBefore w:val="0"/>
        <w:widowControl w:val="0"/>
        <w:shd w:val="clear"/>
        <w:kinsoku/>
        <w:wordWrap/>
        <w:overflowPunct/>
        <w:topLinePunct w:val="0"/>
        <w:autoSpaceDE/>
        <w:autoSpaceDN/>
        <w:bidi w:val="0"/>
        <w:adjustRightInd/>
        <w:snapToGrid/>
        <w:spacing w:line="360" w:lineRule="auto"/>
        <w:ind w:left="0" w:leftChars="0"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必须招标的工程项目规定》(国家发展改革委令第16号)：施工单项合同估算价400万元以上,重要设备、材料单项合同估算价200万元以上,勘察、设计、监理等服务单项合同估算价100万元以上必须公开招标。公司制定《宝城公司工程建设项目招标投标管理暂行办法》规定：杜绝肢解项目、化整为零等方式规避招标。</w:t>
      </w:r>
    </w:p>
    <w:p>
      <w:pPr>
        <w:keepNext w:val="0"/>
        <w:keepLines w:val="0"/>
        <w:pageBreakBefore w:val="0"/>
        <w:widowControl w:val="0"/>
        <w:shd w:val="clear"/>
        <w:kinsoku/>
        <w:wordWrap/>
        <w:overflowPunct/>
        <w:topLinePunct w:val="0"/>
        <w:autoSpaceDE/>
        <w:autoSpaceDN/>
        <w:bidi w:val="0"/>
        <w:adjustRightInd/>
        <w:snapToGrid/>
        <w:spacing w:line="360" w:lineRule="auto"/>
        <w:ind w:left="0" w:leftChars="0"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项目建设工程二标段11510.92万元未严格履行工程项目的招标程序，被监管部门罚款115万元，截至报告日，宝城公司已整改到位。2020年10月30日与湖南科立签订配电建设工程合同总计437.40万元，拆分为2个合同：（五号配电房及宿舍）398.24万元和10KV-0.4KV配电工程39.16万元，未严格执行达到采购限额标准以上的招标程序。</w:t>
      </w:r>
    </w:p>
    <w:p>
      <w:pPr>
        <w:keepNext w:val="0"/>
        <w:keepLines w:val="0"/>
        <w:pageBreakBefore w:val="0"/>
        <w:widowControl w:val="0"/>
        <w:shd w:val="clear"/>
        <w:kinsoku/>
        <w:wordWrap/>
        <w:overflowPunct/>
        <w:topLinePunct w:val="0"/>
        <w:autoSpaceDE/>
        <w:autoSpaceDN/>
        <w:bidi w:val="0"/>
        <w:adjustRightInd/>
        <w:snapToGrid/>
        <w:spacing w:line="360" w:lineRule="auto"/>
        <w:ind w:left="0" w:firstLine="643" w:firstLineChars="200"/>
        <w:textAlignment w:val="auto"/>
        <w:outlineLvl w:val="2"/>
        <w:rPr>
          <w:rFonts w:hint="eastAsia" w:ascii="仿宋" w:hAnsi="仿宋" w:eastAsia="仿宋" w:cs="仿宋"/>
          <w:b/>
          <w:bCs/>
          <w:sz w:val="32"/>
          <w:szCs w:val="32"/>
          <w:highlight w:val="none"/>
          <w:lang w:eastAsia="zh-CN"/>
        </w:rPr>
      </w:pPr>
      <w:bookmarkStart w:id="26" w:name="_Toc23138"/>
      <w:r>
        <w:rPr>
          <w:rFonts w:hint="eastAsia" w:ascii="仿宋" w:hAnsi="仿宋" w:eastAsia="仿宋" w:cs="仿宋"/>
          <w:b/>
          <w:bCs/>
          <w:sz w:val="32"/>
          <w:szCs w:val="32"/>
          <w:highlight w:val="none"/>
          <w:lang w:val="en-US" w:eastAsia="zh-CN"/>
        </w:rPr>
        <w:t>4.</w:t>
      </w:r>
      <w:bookmarkEnd w:id="26"/>
      <w:r>
        <w:rPr>
          <w:rFonts w:hint="eastAsia" w:ascii="仿宋" w:hAnsi="仿宋" w:eastAsia="仿宋" w:cs="仿宋"/>
          <w:b/>
          <w:bCs/>
          <w:sz w:val="32"/>
          <w:szCs w:val="32"/>
          <w:highlight w:val="none"/>
          <w:lang w:eastAsia="zh-CN"/>
        </w:rPr>
        <w:t>项目质量控制不到位</w:t>
      </w:r>
    </w:p>
    <w:p>
      <w:pPr>
        <w:keepNext w:val="0"/>
        <w:keepLines w:val="0"/>
        <w:pageBreakBefore w:val="0"/>
        <w:widowControl w:val="0"/>
        <w:shd w:val="clear"/>
        <w:kinsoku/>
        <w:wordWrap/>
        <w:overflowPunct/>
        <w:topLinePunct w:val="0"/>
        <w:autoSpaceDE/>
        <w:autoSpaceDN/>
        <w:bidi w:val="0"/>
        <w:adjustRightInd/>
        <w:snapToGrid/>
        <w:spacing w:line="360" w:lineRule="auto"/>
        <w:ind w:left="0" w:firstLine="640" w:firstLineChars="200"/>
        <w:textAlignment w:val="auto"/>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lang w:eastAsia="zh-CN"/>
        </w:rPr>
        <w:t>本项目配电工程早已完工，未办理竣工决算，没有采取验收这一必需的质量控制措施。</w:t>
      </w:r>
    </w:p>
    <w:p>
      <w:pPr>
        <w:keepNext w:val="0"/>
        <w:keepLines w:val="0"/>
        <w:pageBreakBefore w:val="0"/>
        <w:widowControl w:val="0"/>
        <w:shd w:val="clear"/>
        <w:kinsoku/>
        <w:wordWrap/>
        <w:overflowPunct/>
        <w:topLinePunct w:val="0"/>
        <w:autoSpaceDE/>
        <w:autoSpaceDN/>
        <w:bidi w:val="0"/>
        <w:adjustRightInd/>
        <w:snapToGrid/>
        <w:spacing w:line="360" w:lineRule="auto"/>
        <w:ind w:left="0" w:firstLine="643" w:firstLineChars="200"/>
        <w:textAlignment w:val="auto"/>
        <w:outlineLvl w:val="2"/>
        <w:rPr>
          <w:rFonts w:hint="eastAsia" w:ascii="仿宋" w:hAnsi="仿宋" w:eastAsia="仿宋" w:cs="仿宋"/>
          <w:b/>
          <w:bCs/>
          <w:sz w:val="32"/>
          <w:szCs w:val="32"/>
          <w:highlight w:val="none"/>
          <w:lang w:val="en-US" w:eastAsia="zh-CN"/>
        </w:rPr>
      </w:pPr>
      <w:r>
        <w:rPr>
          <w:rFonts w:hint="eastAsia" w:ascii="仿宋" w:hAnsi="仿宋" w:eastAsia="仿宋" w:cs="仿宋"/>
          <w:b/>
          <w:bCs/>
          <w:sz w:val="32"/>
          <w:szCs w:val="32"/>
          <w:highlight w:val="none"/>
          <w:lang w:val="en-US" w:eastAsia="zh-CN"/>
        </w:rPr>
        <w:t>5.未正式出台债务风险应对预案和社会稳定风险应对预案。</w:t>
      </w:r>
    </w:p>
    <w:p>
      <w:pPr>
        <w:pStyle w:val="11"/>
        <w:keepNext w:val="0"/>
        <w:keepLines w:val="0"/>
        <w:pageBreakBefore w:val="0"/>
        <w:widowControl w:val="0"/>
        <w:shd w:val="clear"/>
        <w:kinsoku/>
        <w:wordWrap/>
        <w:overflowPunct/>
        <w:topLinePunct w:val="0"/>
        <w:autoSpaceDE/>
        <w:autoSpaceDN/>
        <w:bidi w:val="0"/>
        <w:adjustRightInd/>
        <w:snapToGrid/>
        <w:spacing w:beforeLines="0" w:afterLines="0" w:line="360" w:lineRule="auto"/>
        <w:ind w:left="0"/>
        <w:textAlignment w:val="auto"/>
        <w:rPr>
          <w:rFonts w:hint="eastAsia" w:ascii="仿宋" w:hAnsi="仿宋" w:eastAsia="仿宋" w:cs="仿宋"/>
          <w:b/>
          <w:bCs/>
          <w:sz w:val="32"/>
          <w:szCs w:val="32"/>
          <w:highlight w:val="none"/>
          <w:lang w:val="en-US"/>
        </w:rPr>
      </w:pPr>
      <w:r>
        <w:rPr>
          <w:rFonts w:hint="eastAsia" w:ascii="仿宋" w:hAnsi="仿宋" w:eastAsia="仿宋" w:cs="仿宋"/>
          <w:b/>
          <w:bCs/>
          <w:sz w:val="32"/>
          <w:szCs w:val="32"/>
          <w:highlight w:val="none"/>
          <w:lang w:val="en-US" w:eastAsia="zh-CN"/>
        </w:rPr>
        <w:t>6.工程项目</w:t>
      </w:r>
      <w:r>
        <w:rPr>
          <w:rFonts w:hint="eastAsia" w:ascii="仿宋" w:hAnsi="仿宋" w:eastAsia="仿宋" w:cs="仿宋"/>
          <w:sz w:val="32"/>
          <w:szCs w:val="32"/>
          <w:highlight w:val="none"/>
          <w:lang w:val="en-US" w:eastAsia="zh-CN"/>
        </w:rPr>
        <w:t>执行政府采购程序不规范</w:t>
      </w:r>
      <w:r>
        <w:rPr>
          <w:rFonts w:hint="eastAsia" w:ascii="仿宋" w:hAnsi="仿宋" w:eastAsia="仿宋" w:cs="仿宋"/>
          <w:b/>
          <w:bCs/>
          <w:sz w:val="32"/>
          <w:szCs w:val="32"/>
          <w:highlight w:val="none"/>
          <w:lang w:val="en-US" w:eastAsia="zh-CN"/>
        </w:rPr>
        <w:t>，合同签订事项欠严谨。</w:t>
      </w:r>
    </w:p>
    <w:p>
      <w:pPr>
        <w:keepNext w:val="0"/>
        <w:keepLines w:val="0"/>
        <w:pageBreakBefore w:val="0"/>
        <w:widowControl w:val="0"/>
        <w:shd w:val="clear"/>
        <w:kinsoku/>
        <w:wordWrap/>
        <w:overflowPunct/>
        <w:topLinePunct w:val="0"/>
        <w:autoSpaceDE/>
        <w:autoSpaceDN/>
        <w:bidi w:val="0"/>
        <w:adjustRightInd/>
        <w:snapToGrid/>
        <w:spacing w:line="360" w:lineRule="auto"/>
        <w:ind w:left="0" w:leftChars="0" w:firstLine="640" w:firstLineChars="200"/>
        <w:textAlignment w:val="auto"/>
        <w:rPr>
          <w:rFonts w:hint="eastAsia" w:ascii="仿宋" w:hAnsi="仿宋" w:eastAsia="仿宋" w:cs="仿宋"/>
          <w:sz w:val="32"/>
          <w:szCs w:val="32"/>
          <w:highlight w:val="none"/>
          <w:lang w:val="en-US" w:eastAsia="zh-CN"/>
        </w:rPr>
      </w:pPr>
      <w:bookmarkStart w:id="27" w:name="_Toc29278"/>
      <w:r>
        <w:rPr>
          <w:rFonts w:hint="eastAsia" w:ascii="仿宋" w:hAnsi="仿宋" w:eastAsia="仿宋" w:cs="仿宋"/>
          <w:sz w:val="32"/>
          <w:szCs w:val="32"/>
          <w:highlight w:val="none"/>
          <w:lang w:val="en-US" w:eastAsia="zh-CN"/>
        </w:rPr>
        <w:t>与邵阳公路桥梁建设有限责任公司签订的二标段合同金额11510.92万元未严格执行政府采购程序。</w:t>
      </w:r>
    </w:p>
    <w:p>
      <w:pPr>
        <w:keepNext w:val="0"/>
        <w:keepLines w:val="0"/>
        <w:pageBreakBefore w:val="0"/>
        <w:widowControl w:val="0"/>
        <w:shd w:val="clear"/>
        <w:kinsoku/>
        <w:wordWrap/>
        <w:overflowPunct/>
        <w:topLinePunct w:val="0"/>
        <w:autoSpaceDE/>
        <w:autoSpaceDN/>
        <w:bidi w:val="0"/>
        <w:adjustRightInd/>
        <w:snapToGrid/>
        <w:spacing w:line="360" w:lineRule="auto"/>
        <w:ind w:left="0" w:leftChars="0"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与邵阳公路桥梁建设有限责任公司签订合同日期为2020年12月22日，晚于合同约定的完工日期2020年8月30日，即工程完工才补签合同，合同签订不规范。</w:t>
      </w:r>
    </w:p>
    <w:p>
      <w:pPr>
        <w:keepNext w:val="0"/>
        <w:keepLines w:val="0"/>
        <w:pageBreakBefore w:val="0"/>
        <w:widowControl w:val="0"/>
        <w:shd w:val="clear"/>
        <w:kinsoku/>
        <w:wordWrap/>
        <w:overflowPunct/>
        <w:topLinePunct w:val="0"/>
        <w:autoSpaceDE/>
        <w:autoSpaceDN/>
        <w:bidi w:val="0"/>
        <w:adjustRightInd/>
        <w:snapToGrid/>
        <w:spacing w:line="360" w:lineRule="auto"/>
        <w:ind w:left="0" w:leftChars="0" w:firstLine="555"/>
        <w:textAlignment w:val="auto"/>
        <w:outlineLvl w:val="1"/>
        <w:rPr>
          <w:rFonts w:hint="eastAsia" w:ascii="楷体" w:hAnsi="楷体" w:eastAsia="楷体" w:cs="楷体"/>
          <w:b/>
          <w:bCs/>
          <w:sz w:val="32"/>
          <w:szCs w:val="32"/>
          <w:highlight w:val="none"/>
          <w:lang w:val="en-US" w:eastAsia="zh-CN"/>
        </w:rPr>
      </w:pPr>
      <w:r>
        <w:rPr>
          <w:rFonts w:hint="eastAsia" w:ascii="楷体" w:hAnsi="楷体" w:eastAsia="楷体" w:cs="楷体"/>
          <w:b/>
          <w:bCs/>
          <w:sz w:val="32"/>
          <w:szCs w:val="32"/>
          <w:highlight w:val="none"/>
          <w:lang w:val="en-US" w:eastAsia="zh-CN"/>
        </w:rPr>
        <w:t>（三）有关建议</w:t>
      </w:r>
      <w:bookmarkEnd w:id="27"/>
    </w:p>
    <w:p>
      <w:pPr>
        <w:keepNext w:val="0"/>
        <w:keepLines w:val="0"/>
        <w:pageBreakBefore w:val="0"/>
        <w:widowControl w:val="0"/>
        <w:shd w:val="clear"/>
        <w:kinsoku/>
        <w:wordWrap/>
        <w:overflowPunct/>
        <w:topLinePunct w:val="0"/>
        <w:autoSpaceDE/>
        <w:autoSpaceDN/>
        <w:bidi w:val="0"/>
        <w:adjustRightInd/>
        <w:snapToGrid/>
        <w:spacing w:line="360" w:lineRule="auto"/>
        <w:ind w:left="0" w:firstLine="643"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b/>
          <w:bCs/>
          <w:sz w:val="32"/>
          <w:szCs w:val="32"/>
          <w:highlight w:val="none"/>
        </w:rPr>
        <w:t>1</w:t>
      </w:r>
      <w:r>
        <w:rPr>
          <w:rFonts w:hint="eastAsia" w:ascii="仿宋" w:hAnsi="仿宋" w:eastAsia="仿宋" w:cs="仿宋"/>
          <w:b/>
          <w:bCs/>
          <w:sz w:val="32"/>
          <w:szCs w:val="32"/>
          <w:highlight w:val="none"/>
          <w:lang w:val="en-US" w:eastAsia="zh-CN"/>
        </w:rPr>
        <w:t>.</w:t>
      </w:r>
      <w:r>
        <w:rPr>
          <w:rFonts w:hint="eastAsia" w:ascii="仿宋" w:hAnsi="仿宋" w:eastAsia="仿宋" w:cs="仿宋"/>
          <w:b/>
          <w:bCs/>
          <w:sz w:val="32"/>
          <w:szCs w:val="32"/>
          <w:highlight w:val="none"/>
        </w:rPr>
        <w:t>重视</w:t>
      </w:r>
      <w:r>
        <w:rPr>
          <w:rFonts w:hint="eastAsia" w:ascii="仿宋" w:hAnsi="仿宋" w:eastAsia="仿宋" w:cs="仿宋"/>
          <w:b/>
          <w:bCs/>
          <w:sz w:val="32"/>
          <w:szCs w:val="32"/>
          <w:highlight w:val="none"/>
          <w:lang w:eastAsia="zh-CN"/>
        </w:rPr>
        <w:t>绩效目标管理</w:t>
      </w:r>
      <w:r>
        <w:rPr>
          <w:rFonts w:hint="eastAsia" w:ascii="仿宋" w:hAnsi="仿宋" w:eastAsia="仿宋" w:cs="仿宋"/>
          <w:b/>
          <w:bCs/>
          <w:sz w:val="32"/>
          <w:szCs w:val="32"/>
          <w:highlight w:val="none"/>
        </w:rPr>
        <w:t>工作。</w:t>
      </w:r>
      <w:r>
        <w:rPr>
          <w:rFonts w:hint="eastAsia" w:ascii="仿宋" w:hAnsi="仿宋" w:eastAsia="仿宋" w:cs="仿宋"/>
          <w:sz w:val="32"/>
          <w:szCs w:val="32"/>
          <w:highlight w:val="none"/>
        </w:rPr>
        <w:t>按照《</w:t>
      </w:r>
      <w:r>
        <w:rPr>
          <w:rFonts w:hint="eastAsia" w:ascii="仿宋" w:hAnsi="仿宋" w:eastAsia="仿宋" w:cs="仿宋"/>
          <w:sz w:val="32"/>
          <w:szCs w:val="32"/>
          <w:highlight w:val="none"/>
          <w:lang w:val="en-US" w:eastAsia="zh-CN"/>
        </w:rPr>
        <w:t>湖南省政府债务项目绩效管理暂行办法</w:t>
      </w:r>
      <w:r>
        <w:rPr>
          <w:rFonts w:hint="eastAsia" w:ascii="仿宋" w:hAnsi="仿宋" w:eastAsia="仿宋" w:cs="仿宋"/>
          <w:sz w:val="32"/>
          <w:szCs w:val="32"/>
          <w:highlight w:val="none"/>
        </w:rPr>
        <w:t>》（湘</w:t>
      </w:r>
      <w:r>
        <w:rPr>
          <w:rFonts w:hint="eastAsia" w:ascii="仿宋" w:hAnsi="仿宋" w:eastAsia="仿宋" w:cs="仿宋"/>
          <w:sz w:val="32"/>
          <w:szCs w:val="32"/>
          <w:highlight w:val="none"/>
          <w:lang w:eastAsia="zh-CN"/>
        </w:rPr>
        <w:t>财绩</w:t>
      </w:r>
      <w:r>
        <w:rPr>
          <w:rFonts w:hint="eastAsia" w:ascii="仿宋" w:hAnsi="仿宋" w:eastAsia="仿宋" w:cs="仿宋"/>
          <w:sz w:val="32"/>
          <w:szCs w:val="32"/>
          <w:highlight w:val="none"/>
        </w:rPr>
        <w:t>[20</w:t>
      </w:r>
      <w:r>
        <w:rPr>
          <w:rFonts w:hint="eastAsia" w:ascii="仿宋" w:hAnsi="仿宋" w:eastAsia="仿宋" w:cs="仿宋"/>
          <w:sz w:val="32"/>
          <w:szCs w:val="32"/>
          <w:highlight w:val="none"/>
          <w:lang w:val="en-US" w:eastAsia="zh-CN"/>
        </w:rPr>
        <w:t>20</w:t>
      </w:r>
      <w:r>
        <w:rPr>
          <w:rFonts w:hint="eastAsia" w:ascii="仿宋" w:hAnsi="仿宋" w:eastAsia="仿宋" w:cs="仿宋"/>
          <w:sz w:val="32"/>
          <w:szCs w:val="32"/>
          <w:highlight w:val="none"/>
        </w:rPr>
        <w:t>]1</w:t>
      </w:r>
      <w:r>
        <w:rPr>
          <w:rFonts w:hint="eastAsia" w:ascii="仿宋" w:hAnsi="仿宋" w:eastAsia="仿宋" w:cs="仿宋"/>
          <w:sz w:val="32"/>
          <w:szCs w:val="32"/>
          <w:highlight w:val="none"/>
          <w:lang w:val="en-US" w:eastAsia="zh-CN"/>
        </w:rPr>
        <w:t>2</w:t>
      </w:r>
      <w:r>
        <w:rPr>
          <w:rFonts w:hint="eastAsia" w:ascii="仿宋" w:hAnsi="仿宋" w:eastAsia="仿宋" w:cs="仿宋"/>
          <w:sz w:val="32"/>
          <w:szCs w:val="32"/>
          <w:highlight w:val="none"/>
        </w:rPr>
        <w:t>号）规定，</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lang w:val="en-US" w:eastAsia="zh-CN"/>
        </w:rPr>
        <w:t>项目单位在项目申报时应当编制项目绩效目标。未按要求设定绩效目标或绩效目标审核未通过的项目不得纳入政府债券需求清单</w:t>
      </w:r>
      <w:r>
        <w:rPr>
          <w:rFonts w:hint="eastAsia" w:ascii="仿宋" w:hAnsi="仿宋" w:eastAsia="仿宋" w:cs="仿宋"/>
          <w:sz w:val="32"/>
          <w:szCs w:val="32"/>
          <w:highlight w:val="none"/>
        </w:rPr>
        <w:t>。</w:t>
      </w:r>
      <w:r>
        <w:rPr>
          <w:rFonts w:hint="eastAsia" w:ascii="仿宋" w:hAnsi="仿宋" w:eastAsia="仿宋" w:cs="仿宋"/>
          <w:sz w:val="32"/>
          <w:szCs w:val="32"/>
          <w:highlight w:val="none"/>
          <w:lang w:eastAsia="zh-CN"/>
        </w:rPr>
        <w:t>绩效目标应当具体、明确、可衡量、可实现</w:t>
      </w:r>
      <w:r>
        <w:rPr>
          <w:rFonts w:hint="eastAsia" w:ascii="仿宋" w:hAnsi="仿宋" w:eastAsia="仿宋" w:cs="仿宋"/>
          <w:sz w:val="32"/>
          <w:szCs w:val="32"/>
          <w:highlight w:val="none"/>
          <w:lang w:val="en-US" w:eastAsia="zh-CN"/>
        </w:rPr>
        <w:t>。”</w:t>
      </w:r>
    </w:p>
    <w:p>
      <w:pPr>
        <w:keepNext w:val="0"/>
        <w:keepLines w:val="0"/>
        <w:pageBreakBefore w:val="0"/>
        <w:widowControl w:val="0"/>
        <w:shd w:val="clear"/>
        <w:kinsoku/>
        <w:wordWrap/>
        <w:overflowPunct/>
        <w:topLinePunct w:val="0"/>
        <w:autoSpaceDE/>
        <w:autoSpaceDN/>
        <w:bidi w:val="0"/>
        <w:adjustRightInd/>
        <w:snapToGrid/>
        <w:spacing w:line="360" w:lineRule="auto"/>
        <w:ind w:left="0"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建议项目</w:t>
      </w:r>
      <w:r>
        <w:rPr>
          <w:rFonts w:hint="eastAsia" w:ascii="仿宋" w:hAnsi="仿宋" w:eastAsia="仿宋" w:cs="仿宋"/>
          <w:sz w:val="32"/>
          <w:szCs w:val="32"/>
          <w:highlight w:val="none"/>
          <w:lang w:eastAsia="zh-CN"/>
        </w:rPr>
        <w:t>目单位</w:t>
      </w:r>
      <w:r>
        <w:rPr>
          <w:rFonts w:hint="eastAsia" w:ascii="仿宋" w:hAnsi="仿宋" w:eastAsia="仿宋" w:cs="仿宋"/>
          <w:sz w:val="32"/>
          <w:szCs w:val="32"/>
          <w:highlight w:val="none"/>
        </w:rPr>
        <w:t>今后在</w:t>
      </w:r>
      <w:r>
        <w:rPr>
          <w:rFonts w:hint="eastAsia" w:ascii="仿宋" w:hAnsi="仿宋" w:eastAsia="仿宋" w:cs="仿宋"/>
          <w:sz w:val="32"/>
          <w:szCs w:val="32"/>
          <w:highlight w:val="none"/>
          <w:lang w:eastAsia="zh-CN"/>
        </w:rPr>
        <w:t>申请政府债务项目</w:t>
      </w:r>
      <w:r>
        <w:rPr>
          <w:rFonts w:hint="eastAsia" w:ascii="仿宋" w:hAnsi="仿宋" w:eastAsia="仿宋" w:cs="仿宋"/>
          <w:sz w:val="32"/>
          <w:szCs w:val="32"/>
          <w:highlight w:val="none"/>
        </w:rPr>
        <w:t>资金时，向</w:t>
      </w:r>
      <w:r>
        <w:rPr>
          <w:rFonts w:hint="eastAsia" w:ascii="仿宋" w:hAnsi="仿宋" w:eastAsia="仿宋" w:cs="仿宋"/>
          <w:sz w:val="32"/>
          <w:szCs w:val="32"/>
          <w:highlight w:val="none"/>
          <w:lang w:eastAsia="zh-CN"/>
        </w:rPr>
        <w:t>财政部门做</w:t>
      </w:r>
      <w:r>
        <w:rPr>
          <w:rFonts w:hint="eastAsia" w:ascii="仿宋" w:hAnsi="仿宋" w:eastAsia="仿宋" w:cs="仿宋"/>
          <w:sz w:val="32"/>
          <w:szCs w:val="32"/>
          <w:highlight w:val="none"/>
        </w:rPr>
        <w:t>好预算绩效目标申报工作</w:t>
      </w:r>
      <w:r>
        <w:rPr>
          <w:rFonts w:hint="eastAsia" w:ascii="仿宋" w:hAnsi="仿宋" w:eastAsia="仿宋" w:cs="仿宋"/>
          <w:sz w:val="32"/>
          <w:szCs w:val="32"/>
          <w:highlight w:val="none"/>
          <w:lang w:val="en-US" w:eastAsia="zh-CN"/>
        </w:rPr>
        <w:t>。</w:t>
      </w:r>
    </w:p>
    <w:p>
      <w:pPr>
        <w:pStyle w:val="11"/>
        <w:keepNext w:val="0"/>
        <w:keepLines w:val="0"/>
        <w:pageBreakBefore w:val="0"/>
        <w:widowControl w:val="0"/>
        <w:shd w:val="clear"/>
        <w:kinsoku/>
        <w:wordWrap/>
        <w:overflowPunct/>
        <w:topLinePunct w:val="0"/>
        <w:autoSpaceDE/>
        <w:autoSpaceDN/>
        <w:bidi w:val="0"/>
        <w:adjustRightInd/>
        <w:snapToGrid/>
        <w:spacing w:beforeLines="0" w:afterLines="0" w:line="360" w:lineRule="auto"/>
        <w:ind w:left="0" w:leftChars="0"/>
        <w:textAlignment w:val="auto"/>
        <w:rPr>
          <w:rFonts w:hint="eastAsia" w:ascii="仿宋" w:hAnsi="仿宋" w:eastAsia="仿宋" w:cs="仿宋"/>
          <w:sz w:val="32"/>
          <w:szCs w:val="32"/>
          <w:highlight w:val="none"/>
          <w:lang w:val="en-US" w:eastAsia="zh-CN"/>
        </w:rPr>
      </w:pPr>
      <w:r>
        <w:rPr>
          <w:rFonts w:hint="eastAsia" w:ascii="仿宋" w:hAnsi="仿宋" w:eastAsia="仿宋" w:cs="仿宋"/>
          <w:b/>
          <w:bCs/>
          <w:sz w:val="32"/>
          <w:szCs w:val="32"/>
          <w:highlight w:val="none"/>
          <w:lang w:val="en-US" w:eastAsia="zh-CN"/>
        </w:rPr>
        <w:t>2.及时组织验收和工程决算工作。</w:t>
      </w:r>
      <w:r>
        <w:rPr>
          <w:rFonts w:hint="eastAsia" w:ascii="仿宋" w:hAnsi="仿宋" w:eastAsia="仿宋" w:cs="仿宋"/>
          <w:b w:val="0"/>
          <w:bCs w:val="0"/>
          <w:sz w:val="32"/>
          <w:szCs w:val="32"/>
          <w:highlight w:val="none"/>
          <w:lang w:val="en-US" w:eastAsia="zh-CN"/>
        </w:rPr>
        <w:t>做好施工前期准备工作，加强与使用方、施工方协调沟通，避免施工过程变更过多</w:t>
      </w:r>
      <w:r>
        <w:rPr>
          <w:rFonts w:hint="eastAsia" w:ascii="仿宋" w:hAnsi="仿宋" w:eastAsia="仿宋" w:cs="仿宋"/>
          <w:sz w:val="32"/>
          <w:szCs w:val="32"/>
          <w:highlight w:val="none"/>
          <w:lang w:val="en-US" w:eastAsia="zh-CN"/>
        </w:rPr>
        <w:t>，根据实际情况确定合理工期。</w:t>
      </w:r>
    </w:p>
    <w:p>
      <w:pPr>
        <w:pStyle w:val="11"/>
        <w:keepNext w:val="0"/>
        <w:keepLines w:val="0"/>
        <w:pageBreakBefore w:val="0"/>
        <w:widowControl w:val="0"/>
        <w:shd w:val="clear"/>
        <w:kinsoku/>
        <w:wordWrap/>
        <w:overflowPunct/>
        <w:topLinePunct w:val="0"/>
        <w:autoSpaceDE/>
        <w:autoSpaceDN/>
        <w:bidi w:val="0"/>
        <w:adjustRightInd/>
        <w:snapToGrid/>
        <w:spacing w:beforeLines="0" w:afterLines="0" w:line="360" w:lineRule="auto"/>
        <w:ind w:left="0" w:leftChars="0"/>
        <w:textAlignment w:val="auto"/>
        <w:rPr>
          <w:rFonts w:hint="eastAsia" w:ascii="仿宋" w:hAnsi="仿宋" w:eastAsia="仿宋" w:cs="仿宋"/>
          <w:sz w:val="32"/>
          <w:szCs w:val="32"/>
          <w:highlight w:val="none"/>
          <w:lang w:val="en-US" w:eastAsia="zh-CN"/>
        </w:rPr>
      </w:pPr>
      <w:r>
        <w:rPr>
          <w:rFonts w:hint="eastAsia" w:ascii="仿宋" w:hAnsi="仿宋" w:eastAsia="仿宋" w:cs="仿宋"/>
          <w:b/>
          <w:bCs/>
          <w:sz w:val="32"/>
          <w:szCs w:val="32"/>
          <w:highlight w:val="none"/>
          <w:lang w:val="en-US" w:eastAsia="zh-CN"/>
        </w:rPr>
        <w:t>3.加强制度的执行和落实。</w:t>
      </w:r>
      <w:r>
        <w:rPr>
          <w:rFonts w:hint="eastAsia" w:ascii="仿宋" w:hAnsi="仿宋" w:eastAsia="仿宋" w:cs="仿宋"/>
          <w:sz w:val="32"/>
          <w:szCs w:val="32"/>
          <w:highlight w:val="none"/>
          <w:lang w:val="en-US" w:eastAsia="zh-CN"/>
        </w:rPr>
        <w:t>制度不执行,结果等于零。公司应建立制度执行的检查与监督机制,由公司法务部门或内审部门对公司制度执行情况进行跟踪监督、定期考核。</w:t>
      </w:r>
    </w:p>
    <w:p>
      <w:pPr>
        <w:pStyle w:val="11"/>
        <w:keepNext w:val="0"/>
        <w:keepLines w:val="0"/>
        <w:pageBreakBefore w:val="0"/>
        <w:widowControl w:val="0"/>
        <w:shd w:val="clear"/>
        <w:kinsoku/>
        <w:wordWrap/>
        <w:overflowPunct/>
        <w:topLinePunct w:val="0"/>
        <w:autoSpaceDE/>
        <w:autoSpaceDN/>
        <w:bidi w:val="0"/>
        <w:adjustRightInd/>
        <w:snapToGrid/>
        <w:spacing w:beforeLines="0" w:afterLines="0" w:line="360" w:lineRule="auto"/>
        <w:ind w:left="0" w:leftChars="0"/>
        <w:textAlignment w:val="auto"/>
        <w:rPr>
          <w:rFonts w:hint="eastAsia" w:ascii="仿宋" w:hAnsi="仿宋" w:eastAsia="仿宋" w:cs="仿宋"/>
          <w:b w:val="0"/>
          <w:bCs w:val="0"/>
          <w:sz w:val="32"/>
          <w:szCs w:val="32"/>
          <w:highlight w:val="none"/>
          <w:lang w:val="en-US" w:eastAsia="zh-CN"/>
        </w:rPr>
      </w:pPr>
      <w:r>
        <w:rPr>
          <w:rFonts w:hint="eastAsia" w:ascii="仿宋" w:hAnsi="仿宋" w:eastAsia="仿宋" w:cs="仿宋"/>
          <w:b/>
          <w:bCs/>
          <w:sz w:val="32"/>
          <w:szCs w:val="32"/>
          <w:highlight w:val="none"/>
          <w:lang w:val="en-US" w:eastAsia="zh-CN"/>
        </w:rPr>
        <w:t>4、及时办理验收手续。</w:t>
      </w:r>
      <w:r>
        <w:rPr>
          <w:rFonts w:hint="eastAsia" w:ascii="仿宋" w:hAnsi="仿宋" w:eastAsia="仿宋" w:cs="仿宋"/>
          <w:b w:val="0"/>
          <w:bCs w:val="0"/>
          <w:sz w:val="32"/>
          <w:szCs w:val="32"/>
          <w:highlight w:val="none"/>
          <w:lang w:val="en-US" w:eastAsia="zh-CN"/>
        </w:rPr>
        <w:t>项目施工完成后，督促施工单位收集完整竣工资料，及时组织相关单位进行竣工验收，避免工期延误、建筑物未验收便投入使用造成安全隐患、拖欠工程款，甚至不必要的法律纠纷。</w:t>
      </w:r>
    </w:p>
    <w:p>
      <w:pPr>
        <w:pStyle w:val="11"/>
        <w:keepNext w:val="0"/>
        <w:keepLines w:val="0"/>
        <w:pageBreakBefore w:val="0"/>
        <w:widowControl w:val="0"/>
        <w:shd w:val="clear"/>
        <w:kinsoku/>
        <w:wordWrap/>
        <w:overflowPunct/>
        <w:topLinePunct w:val="0"/>
        <w:autoSpaceDE/>
        <w:autoSpaceDN/>
        <w:bidi w:val="0"/>
        <w:adjustRightInd/>
        <w:snapToGrid/>
        <w:spacing w:beforeLines="0" w:afterLines="0" w:line="360" w:lineRule="auto"/>
        <w:ind w:left="0" w:leftChars="0"/>
        <w:textAlignment w:val="auto"/>
        <w:rPr>
          <w:rFonts w:hint="eastAsia" w:ascii="仿宋" w:hAnsi="仿宋" w:eastAsia="仿宋" w:cs="仿宋"/>
          <w:b w:val="0"/>
          <w:bCs w:val="0"/>
          <w:sz w:val="32"/>
          <w:szCs w:val="32"/>
          <w:highlight w:val="none"/>
          <w:lang w:eastAsia="zh-CN"/>
        </w:rPr>
      </w:pPr>
      <w:r>
        <w:rPr>
          <w:rFonts w:hint="eastAsia" w:ascii="仿宋" w:hAnsi="仿宋" w:eastAsia="仿宋" w:cs="仿宋"/>
          <w:b/>
          <w:bCs/>
          <w:sz w:val="32"/>
          <w:szCs w:val="32"/>
          <w:highlight w:val="none"/>
          <w:lang w:val="en-US" w:eastAsia="zh-CN"/>
        </w:rPr>
        <w:t>5.</w:t>
      </w:r>
      <w:r>
        <w:rPr>
          <w:rFonts w:hint="eastAsia" w:ascii="仿宋" w:hAnsi="仿宋" w:eastAsia="仿宋" w:cs="仿宋"/>
          <w:b/>
          <w:bCs/>
          <w:sz w:val="32"/>
          <w:szCs w:val="32"/>
          <w:highlight w:val="none"/>
          <w:lang w:eastAsia="zh-CN"/>
        </w:rPr>
        <w:t>建立完善专项债务管理制度，加强专项债券全生命周期风险管理。</w:t>
      </w:r>
      <w:r>
        <w:rPr>
          <w:rFonts w:hint="eastAsia" w:ascii="仿宋" w:hAnsi="仿宋" w:eastAsia="仿宋" w:cs="仿宋"/>
          <w:b w:val="0"/>
          <w:bCs w:val="0"/>
          <w:sz w:val="32"/>
          <w:szCs w:val="32"/>
          <w:highlight w:val="none"/>
          <w:lang w:eastAsia="zh-CN"/>
        </w:rPr>
        <w:t>防范风险管控，参照国家、省市有关专项债券管理办法规定，制定单个项目的政府性债务风险应急处置预案。</w:t>
      </w:r>
    </w:p>
    <w:p>
      <w:pPr>
        <w:pStyle w:val="11"/>
        <w:keepNext w:val="0"/>
        <w:keepLines w:val="0"/>
        <w:pageBreakBefore w:val="0"/>
        <w:widowControl w:val="0"/>
        <w:shd w:val="clear"/>
        <w:kinsoku/>
        <w:wordWrap/>
        <w:overflowPunct/>
        <w:topLinePunct w:val="0"/>
        <w:autoSpaceDE/>
        <w:autoSpaceDN/>
        <w:bidi w:val="0"/>
        <w:adjustRightInd/>
        <w:snapToGrid/>
        <w:spacing w:beforeLines="0" w:afterLines="0" w:line="360" w:lineRule="auto"/>
        <w:ind w:left="0" w:leftChars="0"/>
        <w:textAlignment w:val="auto"/>
        <w:rPr>
          <w:rFonts w:hint="eastAsia" w:ascii="仿宋" w:hAnsi="仿宋" w:eastAsia="仿宋" w:cs="仿宋"/>
          <w:b w:val="0"/>
          <w:bCs w:val="0"/>
          <w:sz w:val="32"/>
          <w:szCs w:val="32"/>
          <w:highlight w:val="none"/>
          <w:lang w:val="en-US" w:eastAsia="zh-CN"/>
        </w:rPr>
      </w:pPr>
      <w:r>
        <w:rPr>
          <w:rFonts w:hint="eastAsia" w:ascii="仿宋" w:hAnsi="仿宋" w:eastAsia="仿宋" w:cs="仿宋"/>
          <w:b/>
          <w:bCs/>
          <w:sz w:val="32"/>
          <w:szCs w:val="32"/>
          <w:highlight w:val="none"/>
          <w:lang w:val="en-US" w:eastAsia="zh-CN"/>
        </w:rPr>
        <w:t>6、加强招投标管理和合同审核工作</w:t>
      </w:r>
      <w:r>
        <w:rPr>
          <w:rFonts w:hint="eastAsia" w:ascii="仿宋" w:hAnsi="仿宋" w:eastAsia="仿宋" w:cs="仿宋"/>
          <w:sz w:val="32"/>
          <w:szCs w:val="32"/>
          <w:highlight w:val="none"/>
          <w:lang w:val="en-US" w:eastAsia="zh-CN"/>
        </w:rPr>
        <w:t>。</w:t>
      </w:r>
      <w:r>
        <w:rPr>
          <w:rFonts w:hint="eastAsia" w:ascii="仿宋" w:hAnsi="仿宋" w:eastAsia="仿宋" w:cs="仿宋"/>
          <w:b w:val="0"/>
          <w:bCs w:val="0"/>
          <w:sz w:val="32"/>
          <w:szCs w:val="32"/>
          <w:highlight w:val="none"/>
          <w:lang w:val="en-US" w:eastAsia="zh-CN"/>
        </w:rPr>
        <w:t>公司法务部门或合同管理部门参与合同拟定工作，规范合同签定，</w:t>
      </w:r>
      <w:r>
        <w:rPr>
          <w:rFonts w:hint="eastAsia" w:ascii="仿宋" w:hAnsi="仿宋" w:eastAsia="仿宋" w:cs="仿宋"/>
          <w:b w:val="0"/>
          <w:bCs w:val="0"/>
          <w:sz w:val="32"/>
          <w:szCs w:val="32"/>
          <w:highlight w:val="none"/>
          <w:lang w:eastAsia="zh-CN"/>
        </w:rPr>
        <w:t>签定程序和内容、性质要符合国家法律、法规规定和公司的内部制度，避</w:t>
      </w:r>
      <w:r>
        <w:rPr>
          <w:rFonts w:hint="eastAsia" w:ascii="仿宋" w:hAnsi="仿宋" w:eastAsia="仿宋" w:cs="仿宋"/>
          <w:b w:val="0"/>
          <w:bCs w:val="0"/>
          <w:sz w:val="32"/>
          <w:szCs w:val="32"/>
          <w:highlight w:val="none"/>
          <w:lang w:val="en-US" w:eastAsia="zh-CN"/>
        </w:rPr>
        <w:t>免出现达到招标限额标准未招标、先施工后签订合同等违法、违规行为而造成公司损失。</w:t>
      </w:r>
    </w:p>
    <w:p>
      <w:pPr>
        <w:keepNext w:val="0"/>
        <w:keepLines w:val="0"/>
        <w:pageBreakBefore w:val="0"/>
        <w:shd w:val="clear"/>
        <w:kinsoku/>
        <w:wordWrap/>
        <w:overflowPunct/>
        <w:topLinePunct w:val="0"/>
        <w:autoSpaceDN/>
        <w:bidi w:val="0"/>
        <w:spacing w:line="360" w:lineRule="auto"/>
        <w:rPr>
          <w:rFonts w:hint="eastAsia" w:ascii="仿宋" w:hAnsi="仿宋" w:eastAsia="仿宋" w:cs="仿宋"/>
          <w:sz w:val="32"/>
          <w:szCs w:val="32"/>
          <w:highlight w:val="none"/>
        </w:rPr>
      </w:pPr>
      <w:bookmarkStart w:id="28" w:name="_GoBack"/>
      <w:bookmarkEnd w:id="28"/>
    </w:p>
    <w:sectPr>
      <w:headerReference r:id="rId5" w:type="default"/>
      <w:footerReference r:id="rId6" w:type="default"/>
      <w:pgSz w:w="11906" w:h="16838"/>
      <w:pgMar w:top="1440" w:right="1474" w:bottom="1440" w:left="1474" w:header="851" w:footer="992" w:gutter="0"/>
      <w:cols w:space="425" w:num="1"/>
      <w:rtlGutter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rPr>
        <w:sz w:val="24"/>
        <w:szCs w:val="24"/>
      </w:rPr>
    </w:pPr>
    <w:r>
      <w:rPr>
        <w:sz w:val="24"/>
        <w:szCs w:val="24"/>
      </w:rPr>
      <w:fldChar w:fldCharType="begin"/>
    </w:r>
    <w:r>
      <w:rPr>
        <w:sz w:val="24"/>
        <w:szCs w:val="24"/>
      </w:rPr>
      <w:instrText xml:space="preserve"> PAGE   \* MERGEFORMAT </w:instrText>
    </w:r>
    <w:r>
      <w:rPr>
        <w:sz w:val="24"/>
        <w:szCs w:val="24"/>
      </w:rPr>
      <w:fldChar w:fldCharType="separate"/>
    </w:r>
    <w:r>
      <w:rPr>
        <w:sz w:val="24"/>
        <w:szCs w:val="24"/>
        <w:lang w:val="zh-CN"/>
      </w:rPr>
      <w:t>9</w:t>
    </w:r>
    <w:r>
      <w:rPr>
        <w:sz w:val="24"/>
        <w:szCs w:val="24"/>
        <w:lang w:val="zh-CN"/>
      </w:rPr>
      <w:fldChar w:fldCharType="end"/>
    </w:r>
  </w:p>
  <w:p>
    <w:pPr>
      <w:pStyle w:val="7"/>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tabs>
        <w:tab w:val="center" w:pos="4153"/>
        <w:tab w:val="right" w:pos="8306"/>
      </w:tabs>
      <w:snapToGrid w:val="0"/>
      <w:spacing w:beforeLines="0" w:afterLines="0"/>
      <w:rPr>
        <w:rFonts w:hint="default"/>
        <w:sz w:val="18"/>
        <w:lang w:val="en-US"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29C18D4"/>
    <w:multiLevelType w:val="multilevel"/>
    <w:tmpl w:val="429C18D4"/>
    <w:lvl w:ilvl="0" w:tentative="0">
      <w:start w:val="2"/>
      <w:numFmt w:val="chineseCounting"/>
      <w:suff w:val="nothing"/>
      <w:lvlText w:val="（%1）"/>
      <w:lvlJc w:val="left"/>
      <w:rPr>
        <w:rFonts w:hint="default"/>
        <w:u w:val="none" w:color="auto"/>
      </w:rPr>
    </w:lvl>
    <w:lvl w:ilvl="1" w:tentative="0">
      <w:start w:val="1"/>
      <w:numFmt w:val="decimal"/>
      <w:lvlText w:val=""/>
      <w:lvlJc w:val="left"/>
      <w:rPr>
        <w:rFonts w:hint="default"/>
        <w:u w:val="none" w:color="auto"/>
      </w:rPr>
    </w:lvl>
    <w:lvl w:ilvl="2" w:tentative="0">
      <w:start w:val="1"/>
      <w:numFmt w:val="decimal"/>
      <w:lvlText w:val=""/>
      <w:lvlJc w:val="left"/>
      <w:rPr>
        <w:rFonts w:hint="default"/>
        <w:u w:val="none" w:color="auto"/>
      </w:rPr>
    </w:lvl>
    <w:lvl w:ilvl="3" w:tentative="0">
      <w:start w:val="1"/>
      <w:numFmt w:val="decimal"/>
      <w:lvlText w:val=""/>
      <w:lvlJc w:val="left"/>
      <w:rPr>
        <w:rFonts w:hint="default"/>
        <w:u w:val="none" w:color="auto"/>
      </w:rPr>
    </w:lvl>
    <w:lvl w:ilvl="4" w:tentative="0">
      <w:start w:val="1"/>
      <w:numFmt w:val="decimal"/>
      <w:lvlText w:val=""/>
      <w:lvlJc w:val="left"/>
      <w:rPr>
        <w:rFonts w:hint="default"/>
        <w:u w:val="none" w:color="auto"/>
      </w:rPr>
    </w:lvl>
    <w:lvl w:ilvl="5" w:tentative="0">
      <w:start w:val="1"/>
      <w:numFmt w:val="decimal"/>
      <w:lvlText w:val=""/>
      <w:lvlJc w:val="left"/>
      <w:rPr>
        <w:rFonts w:hint="default"/>
        <w:u w:val="none" w:color="auto"/>
      </w:rPr>
    </w:lvl>
    <w:lvl w:ilvl="6" w:tentative="0">
      <w:start w:val="1"/>
      <w:numFmt w:val="decimal"/>
      <w:lvlText w:val=""/>
      <w:lvlJc w:val="left"/>
      <w:rPr>
        <w:rFonts w:hint="default"/>
        <w:u w:val="none" w:color="auto"/>
      </w:rPr>
    </w:lvl>
    <w:lvl w:ilvl="7" w:tentative="0">
      <w:start w:val="1"/>
      <w:numFmt w:val="decimal"/>
      <w:lvlText w:val=""/>
      <w:lvlJc w:val="left"/>
      <w:rPr>
        <w:rFonts w:hint="default"/>
        <w:u w:val="none" w:color="auto"/>
      </w:rPr>
    </w:lvl>
    <w:lvl w:ilvl="8" w:tentative="0">
      <w:start w:val="1"/>
      <w:numFmt w:val="decimal"/>
      <w:lvlText w:val=""/>
      <w:lvlJc w:val="left"/>
      <w:rPr>
        <w:rFonts w:hint="default"/>
        <w:u w:val="none" w:color="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FlNTM2OTM0NmYwMDMwOWM3NjBlYWQ3NzM1NTdjZjYifQ=="/>
    <w:docVar w:name="KSO_WPS_MARK_KEY" w:val="e499bb6d-0057-473f-8151-7aa55f51cc1c"/>
  </w:docVars>
  <w:rsids>
    <w:rsidRoot w:val="179A7DFE"/>
    <w:rsid w:val="00002BF9"/>
    <w:rsid w:val="00006239"/>
    <w:rsid w:val="0001078D"/>
    <w:rsid w:val="000179A6"/>
    <w:rsid w:val="00017CFF"/>
    <w:rsid w:val="00021171"/>
    <w:rsid w:val="00021BBF"/>
    <w:rsid w:val="00030F51"/>
    <w:rsid w:val="00031DB1"/>
    <w:rsid w:val="000337F9"/>
    <w:rsid w:val="00042BE4"/>
    <w:rsid w:val="00043824"/>
    <w:rsid w:val="00045438"/>
    <w:rsid w:val="00045890"/>
    <w:rsid w:val="0005067B"/>
    <w:rsid w:val="00052741"/>
    <w:rsid w:val="00060B7A"/>
    <w:rsid w:val="0007169F"/>
    <w:rsid w:val="00075EEC"/>
    <w:rsid w:val="00085D4A"/>
    <w:rsid w:val="0008732D"/>
    <w:rsid w:val="00091E5A"/>
    <w:rsid w:val="00095CD8"/>
    <w:rsid w:val="00096B2B"/>
    <w:rsid w:val="000A31BF"/>
    <w:rsid w:val="000A5D8B"/>
    <w:rsid w:val="000A7767"/>
    <w:rsid w:val="000A7A60"/>
    <w:rsid w:val="000B1712"/>
    <w:rsid w:val="000B2C90"/>
    <w:rsid w:val="000C1C11"/>
    <w:rsid w:val="000C1CB5"/>
    <w:rsid w:val="000C3668"/>
    <w:rsid w:val="000C5E54"/>
    <w:rsid w:val="000D27BF"/>
    <w:rsid w:val="000D48A0"/>
    <w:rsid w:val="000D52A9"/>
    <w:rsid w:val="000D615E"/>
    <w:rsid w:val="000E1672"/>
    <w:rsid w:val="000E4CDE"/>
    <w:rsid w:val="000F1F2D"/>
    <w:rsid w:val="00112AB2"/>
    <w:rsid w:val="00112B17"/>
    <w:rsid w:val="00117D1D"/>
    <w:rsid w:val="00122220"/>
    <w:rsid w:val="00125F7F"/>
    <w:rsid w:val="00126CD7"/>
    <w:rsid w:val="00132055"/>
    <w:rsid w:val="00141520"/>
    <w:rsid w:val="00144FBD"/>
    <w:rsid w:val="00154948"/>
    <w:rsid w:val="00156C2F"/>
    <w:rsid w:val="00160F00"/>
    <w:rsid w:val="0016275D"/>
    <w:rsid w:val="00163D22"/>
    <w:rsid w:val="00170723"/>
    <w:rsid w:val="00174217"/>
    <w:rsid w:val="00182AB1"/>
    <w:rsid w:val="00191035"/>
    <w:rsid w:val="00192862"/>
    <w:rsid w:val="001943B3"/>
    <w:rsid w:val="001A087A"/>
    <w:rsid w:val="001A423F"/>
    <w:rsid w:val="001A4F6C"/>
    <w:rsid w:val="001A55B1"/>
    <w:rsid w:val="001B4087"/>
    <w:rsid w:val="001C2D2C"/>
    <w:rsid w:val="001C6CC2"/>
    <w:rsid w:val="001C7AB4"/>
    <w:rsid w:val="001D1BF8"/>
    <w:rsid w:val="001D6B40"/>
    <w:rsid w:val="001E1094"/>
    <w:rsid w:val="00212C37"/>
    <w:rsid w:val="00216A80"/>
    <w:rsid w:val="0021707E"/>
    <w:rsid w:val="00220DF7"/>
    <w:rsid w:val="00232E99"/>
    <w:rsid w:val="0024093D"/>
    <w:rsid w:val="002474A0"/>
    <w:rsid w:val="00264BE1"/>
    <w:rsid w:val="002663B8"/>
    <w:rsid w:val="00274FC0"/>
    <w:rsid w:val="002764E9"/>
    <w:rsid w:val="002772CE"/>
    <w:rsid w:val="002776E9"/>
    <w:rsid w:val="00280A10"/>
    <w:rsid w:val="00296820"/>
    <w:rsid w:val="002A1673"/>
    <w:rsid w:val="002A65EC"/>
    <w:rsid w:val="002C1A5E"/>
    <w:rsid w:val="002D1A15"/>
    <w:rsid w:val="002D2E77"/>
    <w:rsid w:val="002E45B7"/>
    <w:rsid w:val="002E4F01"/>
    <w:rsid w:val="002E715E"/>
    <w:rsid w:val="002F0C1A"/>
    <w:rsid w:val="002F5C4D"/>
    <w:rsid w:val="002F60C6"/>
    <w:rsid w:val="00302D78"/>
    <w:rsid w:val="00315BE8"/>
    <w:rsid w:val="00320613"/>
    <w:rsid w:val="003221C6"/>
    <w:rsid w:val="00322A08"/>
    <w:rsid w:val="00323FF9"/>
    <w:rsid w:val="00332FB2"/>
    <w:rsid w:val="003405B9"/>
    <w:rsid w:val="003455C7"/>
    <w:rsid w:val="00347520"/>
    <w:rsid w:val="00353122"/>
    <w:rsid w:val="00371A35"/>
    <w:rsid w:val="00380B73"/>
    <w:rsid w:val="0038444D"/>
    <w:rsid w:val="00386DD7"/>
    <w:rsid w:val="003930CA"/>
    <w:rsid w:val="003A0D21"/>
    <w:rsid w:val="003B3191"/>
    <w:rsid w:val="003B56CA"/>
    <w:rsid w:val="003D5109"/>
    <w:rsid w:val="003D57A4"/>
    <w:rsid w:val="003D5EBF"/>
    <w:rsid w:val="003E0944"/>
    <w:rsid w:val="003E31EF"/>
    <w:rsid w:val="003E322C"/>
    <w:rsid w:val="003E38ED"/>
    <w:rsid w:val="003E641C"/>
    <w:rsid w:val="003F480F"/>
    <w:rsid w:val="00401D82"/>
    <w:rsid w:val="00402B90"/>
    <w:rsid w:val="004038F0"/>
    <w:rsid w:val="00407341"/>
    <w:rsid w:val="004079D4"/>
    <w:rsid w:val="00411052"/>
    <w:rsid w:val="00413FA8"/>
    <w:rsid w:val="0042038B"/>
    <w:rsid w:val="00433100"/>
    <w:rsid w:val="004362DE"/>
    <w:rsid w:val="0044492E"/>
    <w:rsid w:val="0045112E"/>
    <w:rsid w:val="00457949"/>
    <w:rsid w:val="00461149"/>
    <w:rsid w:val="004615C1"/>
    <w:rsid w:val="004619FC"/>
    <w:rsid w:val="0046521B"/>
    <w:rsid w:val="004771C3"/>
    <w:rsid w:val="00480BDC"/>
    <w:rsid w:val="00481D80"/>
    <w:rsid w:val="0048354D"/>
    <w:rsid w:val="0048402C"/>
    <w:rsid w:val="00495479"/>
    <w:rsid w:val="004954C8"/>
    <w:rsid w:val="004A4876"/>
    <w:rsid w:val="004B03DA"/>
    <w:rsid w:val="004B5178"/>
    <w:rsid w:val="004B5BB7"/>
    <w:rsid w:val="004B6D51"/>
    <w:rsid w:val="004B7199"/>
    <w:rsid w:val="004C006C"/>
    <w:rsid w:val="004C1D26"/>
    <w:rsid w:val="004C3013"/>
    <w:rsid w:val="004C38B5"/>
    <w:rsid w:val="004C3EF3"/>
    <w:rsid w:val="004D2810"/>
    <w:rsid w:val="004E7695"/>
    <w:rsid w:val="004E7E13"/>
    <w:rsid w:val="004F0FFF"/>
    <w:rsid w:val="004F27DA"/>
    <w:rsid w:val="004F2ED7"/>
    <w:rsid w:val="004F630E"/>
    <w:rsid w:val="004F67BA"/>
    <w:rsid w:val="0050290C"/>
    <w:rsid w:val="00511523"/>
    <w:rsid w:val="005117D0"/>
    <w:rsid w:val="005142A8"/>
    <w:rsid w:val="00515BFE"/>
    <w:rsid w:val="00522FE0"/>
    <w:rsid w:val="00526229"/>
    <w:rsid w:val="00527646"/>
    <w:rsid w:val="0053250E"/>
    <w:rsid w:val="0053658F"/>
    <w:rsid w:val="0054210E"/>
    <w:rsid w:val="005468BD"/>
    <w:rsid w:val="00547DD1"/>
    <w:rsid w:val="00552C8F"/>
    <w:rsid w:val="00554AA0"/>
    <w:rsid w:val="005612A6"/>
    <w:rsid w:val="0056156F"/>
    <w:rsid w:val="00562A6A"/>
    <w:rsid w:val="00565120"/>
    <w:rsid w:val="00565E63"/>
    <w:rsid w:val="00575F8C"/>
    <w:rsid w:val="00582A95"/>
    <w:rsid w:val="00582EDC"/>
    <w:rsid w:val="005859BC"/>
    <w:rsid w:val="00585B45"/>
    <w:rsid w:val="00590E91"/>
    <w:rsid w:val="0059111B"/>
    <w:rsid w:val="005952C7"/>
    <w:rsid w:val="00595E2A"/>
    <w:rsid w:val="005A19DA"/>
    <w:rsid w:val="005B1B65"/>
    <w:rsid w:val="005C1F3C"/>
    <w:rsid w:val="005C412D"/>
    <w:rsid w:val="005D4BCE"/>
    <w:rsid w:val="005E1A7D"/>
    <w:rsid w:val="005E1D2E"/>
    <w:rsid w:val="005E4FB3"/>
    <w:rsid w:val="0060610B"/>
    <w:rsid w:val="0060761D"/>
    <w:rsid w:val="00616CFB"/>
    <w:rsid w:val="0062057C"/>
    <w:rsid w:val="0062083A"/>
    <w:rsid w:val="00621E0F"/>
    <w:rsid w:val="00624170"/>
    <w:rsid w:val="0063351C"/>
    <w:rsid w:val="0063375F"/>
    <w:rsid w:val="00636426"/>
    <w:rsid w:val="0064020A"/>
    <w:rsid w:val="00643241"/>
    <w:rsid w:val="00644CC5"/>
    <w:rsid w:val="00652FDC"/>
    <w:rsid w:val="00653FB6"/>
    <w:rsid w:val="00665656"/>
    <w:rsid w:val="00666B80"/>
    <w:rsid w:val="00677156"/>
    <w:rsid w:val="00686CD4"/>
    <w:rsid w:val="00687AB5"/>
    <w:rsid w:val="00696F6C"/>
    <w:rsid w:val="006B18B5"/>
    <w:rsid w:val="006B7176"/>
    <w:rsid w:val="006C0665"/>
    <w:rsid w:val="006C4618"/>
    <w:rsid w:val="006D20DB"/>
    <w:rsid w:val="006E2C16"/>
    <w:rsid w:val="006E37B4"/>
    <w:rsid w:val="006E6DCA"/>
    <w:rsid w:val="006F0EB5"/>
    <w:rsid w:val="006F4F60"/>
    <w:rsid w:val="007115D8"/>
    <w:rsid w:val="00717778"/>
    <w:rsid w:val="0071778E"/>
    <w:rsid w:val="00724CEE"/>
    <w:rsid w:val="00725D4B"/>
    <w:rsid w:val="007375F1"/>
    <w:rsid w:val="00737A92"/>
    <w:rsid w:val="00741B00"/>
    <w:rsid w:val="0076267B"/>
    <w:rsid w:val="00770B80"/>
    <w:rsid w:val="007755F6"/>
    <w:rsid w:val="00782159"/>
    <w:rsid w:val="007855D9"/>
    <w:rsid w:val="00786FA9"/>
    <w:rsid w:val="007921D4"/>
    <w:rsid w:val="0079239C"/>
    <w:rsid w:val="007928AC"/>
    <w:rsid w:val="007A199A"/>
    <w:rsid w:val="007A24B2"/>
    <w:rsid w:val="007A5130"/>
    <w:rsid w:val="007B0AF1"/>
    <w:rsid w:val="007E62CA"/>
    <w:rsid w:val="007F03E2"/>
    <w:rsid w:val="007F4D73"/>
    <w:rsid w:val="007F7554"/>
    <w:rsid w:val="0080443E"/>
    <w:rsid w:val="00810C13"/>
    <w:rsid w:val="00813C64"/>
    <w:rsid w:val="00814B59"/>
    <w:rsid w:val="00816A0B"/>
    <w:rsid w:val="008214B4"/>
    <w:rsid w:val="00823337"/>
    <w:rsid w:val="00830B32"/>
    <w:rsid w:val="008319AE"/>
    <w:rsid w:val="008319FC"/>
    <w:rsid w:val="00832557"/>
    <w:rsid w:val="00845D0D"/>
    <w:rsid w:val="00846563"/>
    <w:rsid w:val="00865AF2"/>
    <w:rsid w:val="008703A6"/>
    <w:rsid w:val="008724B6"/>
    <w:rsid w:val="00873266"/>
    <w:rsid w:val="0087378D"/>
    <w:rsid w:val="00882D94"/>
    <w:rsid w:val="00887E84"/>
    <w:rsid w:val="00896DBC"/>
    <w:rsid w:val="008A5A90"/>
    <w:rsid w:val="008A7567"/>
    <w:rsid w:val="008B03B9"/>
    <w:rsid w:val="008B1C13"/>
    <w:rsid w:val="008B5AC7"/>
    <w:rsid w:val="008B6378"/>
    <w:rsid w:val="008B7355"/>
    <w:rsid w:val="008D1117"/>
    <w:rsid w:val="008D4268"/>
    <w:rsid w:val="008E3B2B"/>
    <w:rsid w:val="008E6A3C"/>
    <w:rsid w:val="008E72D6"/>
    <w:rsid w:val="008E7A6F"/>
    <w:rsid w:val="008F2254"/>
    <w:rsid w:val="00900F86"/>
    <w:rsid w:val="009036AB"/>
    <w:rsid w:val="00903EDF"/>
    <w:rsid w:val="0090703F"/>
    <w:rsid w:val="009171DD"/>
    <w:rsid w:val="009223B7"/>
    <w:rsid w:val="00932076"/>
    <w:rsid w:val="00946B3E"/>
    <w:rsid w:val="00952AF4"/>
    <w:rsid w:val="00955671"/>
    <w:rsid w:val="00960299"/>
    <w:rsid w:val="009637C1"/>
    <w:rsid w:val="00967282"/>
    <w:rsid w:val="00972E70"/>
    <w:rsid w:val="00987835"/>
    <w:rsid w:val="00990352"/>
    <w:rsid w:val="0099380F"/>
    <w:rsid w:val="009942E5"/>
    <w:rsid w:val="00997E8A"/>
    <w:rsid w:val="009A05DE"/>
    <w:rsid w:val="009A1037"/>
    <w:rsid w:val="009B0AD7"/>
    <w:rsid w:val="009B52CB"/>
    <w:rsid w:val="009B633A"/>
    <w:rsid w:val="009C39CF"/>
    <w:rsid w:val="009C4FA7"/>
    <w:rsid w:val="009D6E5A"/>
    <w:rsid w:val="009E5393"/>
    <w:rsid w:val="009F2436"/>
    <w:rsid w:val="009F6839"/>
    <w:rsid w:val="00A12BA9"/>
    <w:rsid w:val="00A132E5"/>
    <w:rsid w:val="00A2798E"/>
    <w:rsid w:val="00A3177C"/>
    <w:rsid w:val="00A36133"/>
    <w:rsid w:val="00A41BAD"/>
    <w:rsid w:val="00A56660"/>
    <w:rsid w:val="00A6079C"/>
    <w:rsid w:val="00A62B6C"/>
    <w:rsid w:val="00A655A9"/>
    <w:rsid w:val="00A65876"/>
    <w:rsid w:val="00A66D70"/>
    <w:rsid w:val="00A81BF7"/>
    <w:rsid w:val="00A81C0B"/>
    <w:rsid w:val="00A82827"/>
    <w:rsid w:val="00A83BF1"/>
    <w:rsid w:val="00A858BA"/>
    <w:rsid w:val="00AA3E0D"/>
    <w:rsid w:val="00AA7ACD"/>
    <w:rsid w:val="00AA7BA6"/>
    <w:rsid w:val="00AC372F"/>
    <w:rsid w:val="00AD3987"/>
    <w:rsid w:val="00AE070F"/>
    <w:rsid w:val="00AF42CE"/>
    <w:rsid w:val="00AF4EEC"/>
    <w:rsid w:val="00AF6C37"/>
    <w:rsid w:val="00AF7F72"/>
    <w:rsid w:val="00B07448"/>
    <w:rsid w:val="00B079EB"/>
    <w:rsid w:val="00B12F3A"/>
    <w:rsid w:val="00B22FD7"/>
    <w:rsid w:val="00B3090C"/>
    <w:rsid w:val="00B336AB"/>
    <w:rsid w:val="00B441CF"/>
    <w:rsid w:val="00B46A30"/>
    <w:rsid w:val="00B50218"/>
    <w:rsid w:val="00B51A72"/>
    <w:rsid w:val="00B74AE9"/>
    <w:rsid w:val="00B81354"/>
    <w:rsid w:val="00B845C8"/>
    <w:rsid w:val="00B87615"/>
    <w:rsid w:val="00B909EB"/>
    <w:rsid w:val="00B93081"/>
    <w:rsid w:val="00B9695B"/>
    <w:rsid w:val="00BA10BF"/>
    <w:rsid w:val="00BA35C1"/>
    <w:rsid w:val="00BB40D7"/>
    <w:rsid w:val="00BC6B1A"/>
    <w:rsid w:val="00BD0311"/>
    <w:rsid w:val="00BD260D"/>
    <w:rsid w:val="00BD3556"/>
    <w:rsid w:val="00BD655D"/>
    <w:rsid w:val="00BF009F"/>
    <w:rsid w:val="00BF244B"/>
    <w:rsid w:val="00BF60FA"/>
    <w:rsid w:val="00C008B4"/>
    <w:rsid w:val="00C2275C"/>
    <w:rsid w:val="00C275EF"/>
    <w:rsid w:val="00C30081"/>
    <w:rsid w:val="00C31CE3"/>
    <w:rsid w:val="00C3219A"/>
    <w:rsid w:val="00C33F20"/>
    <w:rsid w:val="00C47D51"/>
    <w:rsid w:val="00C53234"/>
    <w:rsid w:val="00C55693"/>
    <w:rsid w:val="00C72F21"/>
    <w:rsid w:val="00C761EF"/>
    <w:rsid w:val="00C76DD7"/>
    <w:rsid w:val="00CA2EB8"/>
    <w:rsid w:val="00CA4F86"/>
    <w:rsid w:val="00CA5552"/>
    <w:rsid w:val="00CB40F1"/>
    <w:rsid w:val="00CB6BE5"/>
    <w:rsid w:val="00CC1355"/>
    <w:rsid w:val="00CC7EB1"/>
    <w:rsid w:val="00CD5879"/>
    <w:rsid w:val="00CE2892"/>
    <w:rsid w:val="00CE71A3"/>
    <w:rsid w:val="00CF2CC2"/>
    <w:rsid w:val="00CF50F2"/>
    <w:rsid w:val="00CF7F00"/>
    <w:rsid w:val="00CF7F8B"/>
    <w:rsid w:val="00D05659"/>
    <w:rsid w:val="00D057BD"/>
    <w:rsid w:val="00D05C9D"/>
    <w:rsid w:val="00D07B0E"/>
    <w:rsid w:val="00D235AB"/>
    <w:rsid w:val="00D268FC"/>
    <w:rsid w:val="00D323C8"/>
    <w:rsid w:val="00D32606"/>
    <w:rsid w:val="00D41279"/>
    <w:rsid w:val="00D4293C"/>
    <w:rsid w:val="00D441EE"/>
    <w:rsid w:val="00D44586"/>
    <w:rsid w:val="00D44982"/>
    <w:rsid w:val="00D45302"/>
    <w:rsid w:val="00D471F6"/>
    <w:rsid w:val="00D50B8D"/>
    <w:rsid w:val="00D55AA1"/>
    <w:rsid w:val="00D5625E"/>
    <w:rsid w:val="00D630E3"/>
    <w:rsid w:val="00D720FC"/>
    <w:rsid w:val="00D740AC"/>
    <w:rsid w:val="00D751C4"/>
    <w:rsid w:val="00D76D35"/>
    <w:rsid w:val="00D81AEA"/>
    <w:rsid w:val="00D823A7"/>
    <w:rsid w:val="00D930D4"/>
    <w:rsid w:val="00D933D1"/>
    <w:rsid w:val="00DA105F"/>
    <w:rsid w:val="00DB13C4"/>
    <w:rsid w:val="00DB6C30"/>
    <w:rsid w:val="00DC1AE6"/>
    <w:rsid w:val="00DC362D"/>
    <w:rsid w:val="00DC40AD"/>
    <w:rsid w:val="00DD1070"/>
    <w:rsid w:val="00DD334E"/>
    <w:rsid w:val="00DE02A7"/>
    <w:rsid w:val="00DE67F1"/>
    <w:rsid w:val="00DE6DA2"/>
    <w:rsid w:val="00DF1D68"/>
    <w:rsid w:val="00E025ED"/>
    <w:rsid w:val="00E10EE3"/>
    <w:rsid w:val="00E145F3"/>
    <w:rsid w:val="00E17449"/>
    <w:rsid w:val="00E20EA3"/>
    <w:rsid w:val="00E21597"/>
    <w:rsid w:val="00E224B6"/>
    <w:rsid w:val="00E23067"/>
    <w:rsid w:val="00E26124"/>
    <w:rsid w:val="00E26705"/>
    <w:rsid w:val="00E308EC"/>
    <w:rsid w:val="00E325D6"/>
    <w:rsid w:val="00E32C9E"/>
    <w:rsid w:val="00E36FE0"/>
    <w:rsid w:val="00E5050D"/>
    <w:rsid w:val="00E52674"/>
    <w:rsid w:val="00E53F5F"/>
    <w:rsid w:val="00E57149"/>
    <w:rsid w:val="00E57C54"/>
    <w:rsid w:val="00E60341"/>
    <w:rsid w:val="00E60591"/>
    <w:rsid w:val="00E627B4"/>
    <w:rsid w:val="00E6724E"/>
    <w:rsid w:val="00E80F23"/>
    <w:rsid w:val="00E81288"/>
    <w:rsid w:val="00E876C6"/>
    <w:rsid w:val="00E94E92"/>
    <w:rsid w:val="00E96429"/>
    <w:rsid w:val="00EA2444"/>
    <w:rsid w:val="00EA5C37"/>
    <w:rsid w:val="00EC7A75"/>
    <w:rsid w:val="00ED54DA"/>
    <w:rsid w:val="00EE0E0C"/>
    <w:rsid w:val="00EE404A"/>
    <w:rsid w:val="00EE46B8"/>
    <w:rsid w:val="00EF0E40"/>
    <w:rsid w:val="00EF1962"/>
    <w:rsid w:val="00EF1A86"/>
    <w:rsid w:val="00EF5D9C"/>
    <w:rsid w:val="00EF70B5"/>
    <w:rsid w:val="00F01ACB"/>
    <w:rsid w:val="00F147B0"/>
    <w:rsid w:val="00F16D51"/>
    <w:rsid w:val="00F20D3F"/>
    <w:rsid w:val="00F23DF9"/>
    <w:rsid w:val="00F25A4F"/>
    <w:rsid w:val="00F25A76"/>
    <w:rsid w:val="00F336BA"/>
    <w:rsid w:val="00F4414D"/>
    <w:rsid w:val="00F44F5F"/>
    <w:rsid w:val="00F46062"/>
    <w:rsid w:val="00F519E7"/>
    <w:rsid w:val="00F535C8"/>
    <w:rsid w:val="00F559C1"/>
    <w:rsid w:val="00F574D2"/>
    <w:rsid w:val="00F623F3"/>
    <w:rsid w:val="00F6459B"/>
    <w:rsid w:val="00F675F5"/>
    <w:rsid w:val="00F71CF8"/>
    <w:rsid w:val="00F75D6F"/>
    <w:rsid w:val="00F76CB8"/>
    <w:rsid w:val="00F80714"/>
    <w:rsid w:val="00F84AC0"/>
    <w:rsid w:val="00F95D11"/>
    <w:rsid w:val="00FB14C1"/>
    <w:rsid w:val="00FC6D82"/>
    <w:rsid w:val="00FD11F4"/>
    <w:rsid w:val="00FD16B5"/>
    <w:rsid w:val="00FD28BB"/>
    <w:rsid w:val="00FD5242"/>
    <w:rsid w:val="00FE72ED"/>
    <w:rsid w:val="00FF2D9A"/>
    <w:rsid w:val="022D2114"/>
    <w:rsid w:val="02F61090"/>
    <w:rsid w:val="03C05177"/>
    <w:rsid w:val="03C07382"/>
    <w:rsid w:val="04104B5B"/>
    <w:rsid w:val="04AD1392"/>
    <w:rsid w:val="05D05DE6"/>
    <w:rsid w:val="05DE4E38"/>
    <w:rsid w:val="06635490"/>
    <w:rsid w:val="06B4658F"/>
    <w:rsid w:val="087D6CD7"/>
    <w:rsid w:val="0BA05B13"/>
    <w:rsid w:val="0BCD6AE0"/>
    <w:rsid w:val="0C154BDA"/>
    <w:rsid w:val="0C340988"/>
    <w:rsid w:val="0C4469D5"/>
    <w:rsid w:val="0C745AD0"/>
    <w:rsid w:val="0DAF012D"/>
    <w:rsid w:val="0E4A2881"/>
    <w:rsid w:val="0FF03B9A"/>
    <w:rsid w:val="1005446D"/>
    <w:rsid w:val="15BB7257"/>
    <w:rsid w:val="15ED4C2F"/>
    <w:rsid w:val="172404DE"/>
    <w:rsid w:val="17991C55"/>
    <w:rsid w:val="179A7DFE"/>
    <w:rsid w:val="18DC0E31"/>
    <w:rsid w:val="19BB54A5"/>
    <w:rsid w:val="1A2B252D"/>
    <w:rsid w:val="1BDB37F6"/>
    <w:rsid w:val="1EB044EF"/>
    <w:rsid w:val="1FE35BFE"/>
    <w:rsid w:val="2283639D"/>
    <w:rsid w:val="229E0275"/>
    <w:rsid w:val="22BD56C6"/>
    <w:rsid w:val="248154B2"/>
    <w:rsid w:val="24912949"/>
    <w:rsid w:val="257302A1"/>
    <w:rsid w:val="26D568A3"/>
    <w:rsid w:val="28313A6D"/>
    <w:rsid w:val="29542197"/>
    <w:rsid w:val="2C630FF3"/>
    <w:rsid w:val="2EBC2225"/>
    <w:rsid w:val="2F1F2FAA"/>
    <w:rsid w:val="30484B34"/>
    <w:rsid w:val="321B76E8"/>
    <w:rsid w:val="33AC4EDA"/>
    <w:rsid w:val="35AB7BFD"/>
    <w:rsid w:val="35F5305F"/>
    <w:rsid w:val="36262CA9"/>
    <w:rsid w:val="3A937945"/>
    <w:rsid w:val="3B4A4468"/>
    <w:rsid w:val="3BB74292"/>
    <w:rsid w:val="3C10341E"/>
    <w:rsid w:val="3DC362EA"/>
    <w:rsid w:val="3ECE4FA3"/>
    <w:rsid w:val="3F916F38"/>
    <w:rsid w:val="3F942181"/>
    <w:rsid w:val="3FF25B7C"/>
    <w:rsid w:val="40675209"/>
    <w:rsid w:val="40B25CC9"/>
    <w:rsid w:val="42EE2F04"/>
    <w:rsid w:val="43551122"/>
    <w:rsid w:val="44F64404"/>
    <w:rsid w:val="45515F3F"/>
    <w:rsid w:val="463C77EA"/>
    <w:rsid w:val="47E501C1"/>
    <w:rsid w:val="482955DB"/>
    <w:rsid w:val="48AD60BB"/>
    <w:rsid w:val="499D3907"/>
    <w:rsid w:val="4A365275"/>
    <w:rsid w:val="4AF12D99"/>
    <w:rsid w:val="4C772927"/>
    <w:rsid w:val="4C8D1069"/>
    <w:rsid w:val="4F007CA8"/>
    <w:rsid w:val="4F4001F6"/>
    <w:rsid w:val="509A373B"/>
    <w:rsid w:val="51D96C4C"/>
    <w:rsid w:val="5224675F"/>
    <w:rsid w:val="53B574F4"/>
    <w:rsid w:val="54ED5752"/>
    <w:rsid w:val="5521691A"/>
    <w:rsid w:val="56C96294"/>
    <w:rsid w:val="57F97DF1"/>
    <w:rsid w:val="582E70AD"/>
    <w:rsid w:val="59162E41"/>
    <w:rsid w:val="5BAD1957"/>
    <w:rsid w:val="5D6B74D4"/>
    <w:rsid w:val="5DA55AF0"/>
    <w:rsid w:val="5F2D33BC"/>
    <w:rsid w:val="5F711212"/>
    <w:rsid w:val="6175447D"/>
    <w:rsid w:val="62137D14"/>
    <w:rsid w:val="627672AA"/>
    <w:rsid w:val="6470717E"/>
    <w:rsid w:val="6708026F"/>
    <w:rsid w:val="6AA62DC3"/>
    <w:rsid w:val="6B1C3B27"/>
    <w:rsid w:val="70E22282"/>
    <w:rsid w:val="71564A8B"/>
    <w:rsid w:val="717B0A82"/>
    <w:rsid w:val="721E39C3"/>
    <w:rsid w:val="73593886"/>
    <w:rsid w:val="7447676F"/>
    <w:rsid w:val="75546BA3"/>
    <w:rsid w:val="798C141D"/>
    <w:rsid w:val="79AF1EDD"/>
    <w:rsid w:val="79B86A1B"/>
    <w:rsid w:val="7B4C59ED"/>
    <w:rsid w:val="7BCA12E9"/>
    <w:rsid w:val="7CA23282"/>
    <w:rsid w:val="7DC244CD"/>
    <w:rsid w:val="7E162CD3"/>
    <w:rsid w:val="7FB007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jc w:val="both"/>
    </w:pPr>
    <w:rPr>
      <w:rFonts w:asciiTheme="minorHAnsi" w:hAnsiTheme="minorHAnsi" w:eastAsiaTheme="minorEastAsia" w:cstheme="minorBidi"/>
      <w:kern w:val="2"/>
      <w:sz w:val="21"/>
      <w:szCs w:val="24"/>
      <w:lang w:val="en-US" w:eastAsia="zh-CN" w:bidi="ar-SA"/>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customStyle="1" w:styleId="2">
    <w:name w:val="首行缩进"/>
    <w:basedOn w:val="1"/>
    <w:qFormat/>
    <w:uiPriority w:val="0"/>
    <w:pPr>
      <w:ind w:firstLine="480" w:firstLineChars="200"/>
    </w:pPr>
    <w:rPr>
      <w:lang w:val="zh-CN"/>
    </w:rPr>
  </w:style>
  <w:style w:type="paragraph" w:styleId="3">
    <w:name w:val="toa heading"/>
    <w:basedOn w:val="1"/>
    <w:next w:val="1"/>
    <w:qFormat/>
    <w:uiPriority w:val="0"/>
    <w:pPr>
      <w:spacing w:before="120" w:after="200" w:line="276" w:lineRule="auto"/>
    </w:pPr>
    <w:rPr>
      <w:rFonts w:ascii="Arial" w:hAnsi="Arial" w:eastAsia="宋体" w:cs="Times New Roman"/>
      <w:sz w:val="24"/>
      <w:szCs w:val="24"/>
    </w:rPr>
  </w:style>
  <w:style w:type="paragraph" w:styleId="4">
    <w:name w:val="annotation text"/>
    <w:basedOn w:val="1"/>
    <w:qFormat/>
    <w:uiPriority w:val="0"/>
    <w:pPr>
      <w:jc w:val="left"/>
    </w:pPr>
  </w:style>
  <w:style w:type="paragraph" w:styleId="5">
    <w:name w:val="Body Text"/>
    <w:basedOn w:val="1"/>
    <w:qFormat/>
    <w:uiPriority w:val="1"/>
    <w:rPr>
      <w:rFonts w:ascii="宋体" w:hAnsi="宋体" w:cs="宋体"/>
      <w:sz w:val="32"/>
      <w:szCs w:val="32"/>
    </w:rPr>
  </w:style>
  <w:style w:type="paragraph" w:styleId="6">
    <w:name w:val="Body Text Indent"/>
    <w:basedOn w:val="1"/>
    <w:unhideWhenUsed/>
    <w:qFormat/>
    <w:uiPriority w:val="0"/>
    <w:pPr>
      <w:spacing w:beforeLines="0" w:afterLines="0"/>
      <w:ind w:firstLine="640" w:firstLineChars="200"/>
    </w:pPr>
    <w:rPr>
      <w:rFonts w:hint="default"/>
      <w:sz w:val="32"/>
    </w:r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header"/>
    <w:basedOn w:val="1"/>
    <w:link w:val="17"/>
    <w:qFormat/>
    <w:uiPriority w:val="0"/>
    <w:pPr>
      <w:pBdr>
        <w:bottom w:val="single" w:color="auto" w:sz="6" w:space="1"/>
      </w:pBdr>
      <w:tabs>
        <w:tab w:val="center" w:pos="4153"/>
        <w:tab w:val="right" w:pos="8306"/>
      </w:tabs>
      <w:snapToGrid w:val="0"/>
      <w:spacing w:line="240" w:lineRule="auto"/>
      <w:jc w:val="center"/>
    </w:pPr>
    <w:rPr>
      <w:sz w:val="18"/>
      <w:szCs w:val="18"/>
    </w:rPr>
  </w:style>
  <w:style w:type="paragraph" w:styleId="9">
    <w:name w:val="Subtitle"/>
    <w:basedOn w:val="1"/>
    <w:next w:val="1"/>
    <w:qFormat/>
    <w:uiPriority w:val="0"/>
    <w:pPr>
      <w:spacing w:line="312" w:lineRule="auto"/>
      <w:jc w:val="center"/>
      <w:outlineLvl w:val="1"/>
    </w:pPr>
    <w:rPr>
      <w:rFonts w:ascii="Cambria" w:hAnsi="Cambria"/>
      <w:b/>
      <w:bCs/>
      <w:kern w:val="28"/>
      <w:sz w:val="32"/>
      <w:szCs w:val="32"/>
    </w:rPr>
  </w:style>
  <w:style w:type="paragraph" w:styleId="10">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1">
    <w:name w:val="Body Text First Indent 2"/>
    <w:basedOn w:val="6"/>
    <w:unhideWhenUsed/>
    <w:qFormat/>
    <w:uiPriority w:val="99"/>
    <w:pPr>
      <w:spacing w:beforeLines="0" w:afterLines="0"/>
      <w:ind w:firstLine="420"/>
    </w:pPr>
    <w:rPr>
      <w:rFonts w:hint="default"/>
      <w:sz w:val="32"/>
    </w:rPr>
  </w:style>
  <w:style w:type="table" w:styleId="13">
    <w:name w:val="Table Grid"/>
    <w:basedOn w:val="12"/>
    <w:qFormat/>
    <w:uiPriority w:val="0"/>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5">
    <w:name w:val="Emphasis"/>
    <w:basedOn w:val="14"/>
    <w:qFormat/>
    <w:uiPriority w:val="0"/>
    <w:rPr>
      <w:i/>
    </w:rPr>
  </w:style>
  <w:style w:type="character" w:styleId="16">
    <w:name w:val="Hyperlink"/>
    <w:basedOn w:val="14"/>
    <w:qFormat/>
    <w:uiPriority w:val="0"/>
    <w:rPr>
      <w:color w:val="0000FF"/>
      <w:u w:val="single"/>
    </w:rPr>
  </w:style>
  <w:style w:type="character" w:customStyle="1" w:styleId="17">
    <w:name w:val="页眉 Char"/>
    <w:basedOn w:val="14"/>
    <w:link w:val="8"/>
    <w:qFormat/>
    <w:uiPriority w:val="0"/>
    <w:rPr>
      <w:kern w:val="2"/>
      <w:sz w:val="18"/>
      <w:szCs w:val="18"/>
    </w:rPr>
  </w:style>
  <w:style w:type="paragraph" w:styleId="18">
    <w:name w:val="List Paragraph"/>
    <w:basedOn w:val="1"/>
    <w:unhideWhenUsed/>
    <w:qFormat/>
    <w:uiPriority w:val="99"/>
    <w:pPr>
      <w:ind w:firstLine="420" w:firstLineChars="200"/>
    </w:pPr>
  </w:style>
  <w:style w:type="paragraph" w:customStyle="1" w:styleId="19">
    <w:name w:val="WPSOffice手动目录 1"/>
    <w:qFormat/>
    <w:uiPriority w:val="0"/>
    <w:pPr>
      <w:ind w:leftChars="0"/>
    </w:pPr>
    <w:rPr>
      <w:rFonts w:ascii="Calibri" w:hAnsi="Calibri" w:eastAsia="宋体" w:cs="Times New Roman"/>
      <w:sz w:val="20"/>
      <w:szCs w:val="20"/>
    </w:rPr>
  </w:style>
  <w:style w:type="paragraph" w:customStyle="1" w:styleId="20">
    <w:name w:val="WPSOffice手动目录 2"/>
    <w:qFormat/>
    <w:uiPriority w:val="0"/>
    <w:pPr>
      <w:ind w:leftChars="200"/>
    </w:pPr>
    <w:rPr>
      <w:rFonts w:ascii="Calibri" w:hAnsi="Calibri" w:eastAsia="宋体" w:cs="Times New Roman"/>
      <w:sz w:val="20"/>
      <w:szCs w:val="20"/>
    </w:rPr>
  </w:style>
  <w:style w:type="paragraph" w:customStyle="1" w:styleId="21">
    <w:name w:val="WPSOffice手动目录 3"/>
    <w:qFormat/>
    <w:uiPriority w:val="0"/>
    <w:pPr>
      <w:ind w:leftChars="400"/>
    </w:pPr>
    <w:rPr>
      <w:rFonts w:ascii="Calibri" w:hAnsi="Calibri" w:eastAsia="宋体" w:cs="Times New Roman"/>
      <w:sz w:val="20"/>
      <w:szCs w:val="20"/>
    </w:rPr>
  </w:style>
  <w:style w:type="character" w:customStyle="1" w:styleId="22">
    <w:name w:val="font31"/>
    <w:basedOn w:val="14"/>
    <w:qFormat/>
    <w:uiPriority w:val="0"/>
    <w:rPr>
      <w:rFonts w:hint="default" w:ascii="仿宋_GB2312" w:eastAsia="仿宋_GB2312" w:cs="仿宋_GB2312"/>
      <w:color w:val="000000"/>
      <w:sz w:val="21"/>
      <w:szCs w:val="21"/>
      <w:u w:val="none"/>
    </w:rPr>
  </w:style>
  <w:style w:type="character" w:customStyle="1" w:styleId="23">
    <w:name w:val="font01"/>
    <w:basedOn w:val="14"/>
    <w:qFormat/>
    <w:uiPriority w:val="0"/>
    <w:rPr>
      <w:rFonts w:hint="eastAsia" w:ascii="宋体" w:hAnsi="宋体" w:eastAsia="宋体" w:cs="宋体"/>
      <w:color w:val="000000"/>
      <w:sz w:val="21"/>
      <w:szCs w:val="21"/>
      <w:u w:val="none"/>
    </w:rPr>
  </w:style>
  <w:style w:type="character" w:customStyle="1" w:styleId="24">
    <w:name w:val="font11"/>
    <w:basedOn w:val="14"/>
    <w:qFormat/>
    <w:uiPriority w:val="0"/>
    <w:rPr>
      <w:rFonts w:hint="default" w:ascii="仿宋_GB2312" w:eastAsia="仿宋_GB2312" w:cs="仿宋_GB2312"/>
      <w:color w:val="000000"/>
      <w:sz w:val="20"/>
      <w:szCs w:val="20"/>
      <w:u w:val="none"/>
    </w:rPr>
  </w:style>
  <w:style w:type="character" w:customStyle="1" w:styleId="25">
    <w:name w:val="font81"/>
    <w:basedOn w:val="14"/>
    <w:qFormat/>
    <w:uiPriority w:val="0"/>
    <w:rPr>
      <w:rFonts w:hint="eastAsia" w:ascii="宋体" w:hAnsi="宋体" w:eastAsia="宋体" w:cs="宋体"/>
      <w:color w:val="000000"/>
      <w:sz w:val="20"/>
      <w:szCs w:val="20"/>
      <w:u w:val="none"/>
    </w:rPr>
  </w:style>
  <w:style w:type="character" w:customStyle="1" w:styleId="26">
    <w:name w:val="font101"/>
    <w:basedOn w:val="14"/>
    <w:qFormat/>
    <w:uiPriority w:val="0"/>
    <w:rPr>
      <w:rFonts w:hint="default" w:ascii="仿宋_GB2312" w:eastAsia="仿宋_GB2312" w:cs="仿宋_GB2312"/>
      <w:color w:val="000000"/>
      <w:sz w:val="24"/>
      <w:szCs w:val="24"/>
      <w:u w:val="none"/>
    </w:rPr>
  </w:style>
  <w:style w:type="character" w:customStyle="1" w:styleId="27">
    <w:name w:val="font41"/>
    <w:basedOn w:val="14"/>
    <w:qFormat/>
    <w:uiPriority w:val="0"/>
    <w:rPr>
      <w:rFonts w:hint="eastAsia" w:ascii="宋体" w:hAnsi="宋体" w:eastAsia="宋体" w:cs="宋体"/>
      <w:color w:val="000000"/>
      <w:sz w:val="24"/>
      <w:szCs w:val="24"/>
      <w:u w:val="none"/>
    </w:rPr>
  </w:style>
  <w:style w:type="character" w:customStyle="1" w:styleId="28">
    <w:name w:val="font61"/>
    <w:basedOn w:val="14"/>
    <w:qFormat/>
    <w:uiPriority w:val="0"/>
    <w:rPr>
      <w:rFonts w:hint="eastAsia" w:ascii="宋体" w:hAnsi="宋体" w:eastAsia="宋体" w:cs="宋体"/>
      <w:b/>
      <w:bCs/>
      <w:color w:val="000000"/>
      <w:sz w:val="21"/>
      <w:szCs w:val="21"/>
      <w:u w:val="none"/>
    </w:rPr>
  </w:style>
  <w:style w:type="character" w:customStyle="1" w:styleId="29">
    <w:name w:val="font112"/>
    <w:basedOn w:val="14"/>
    <w:qFormat/>
    <w:uiPriority w:val="0"/>
    <w:rPr>
      <w:rFonts w:hint="default" w:ascii="仿宋_GB2312" w:eastAsia="仿宋_GB2312" w:cs="仿宋_GB2312"/>
      <w:b/>
      <w:bCs/>
      <w:color w:val="000000"/>
      <w:sz w:val="21"/>
      <w:szCs w:val="21"/>
      <w:u w:val="none"/>
    </w:rPr>
  </w:style>
  <w:style w:type="character" w:customStyle="1" w:styleId="30">
    <w:name w:val="font71"/>
    <w:basedOn w:val="14"/>
    <w:qFormat/>
    <w:uiPriority w:val="0"/>
    <w:rPr>
      <w:rFonts w:hint="eastAsia" w:ascii="宋体" w:hAnsi="宋体" w:eastAsia="宋体" w:cs="宋体"/>
      <w:color w:val="000000"/>
      <w:sz w:val="20"/>
      <w:szCs w:val="20"/>
      <w:u w:val="none"/>
    </w:rPr>
  </w:style>
  <w:style w:type="character" w:customStyle="1" w:styleId="31">
    <w:name w:val="font91"/>
    <w:basedOn w:val="14"/>
    <w:qFormat/>
    <w:uiPriority w:val="0"/>
    <w:rPr>
      <w:rFonts w:hint="default" w:ascii="仿宋_GB2312" w:eastAsia="仿宋_GB2312" w:cs="仿宋_GB2312"/>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EEFABEF-77D3-4CCE-8E45-A380BA264AB1}">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28</Pages>
  <Words>13137</Words>
  <Characters>14140</Characters>
  <Lines>59</Lines>
  <Paragraphs>16</Paragraphs>
  <TotalTime>30</TotalTime>
  <ScaleCrop>false</ScaleCrop>
  <LinksUpToDate>false</LinksUpToDate>
  <CharactersWithSpaces>14380</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2016-10-19T09:38:00Z</dcterms:created>
  <dc:creator>Administrator</dc:creator>
  <cp:lastModifiedBy>1402836399</cp:lastModifiedBy>
  <cp:lastPrinted>2022-10-19T02:25:00Z</cp:lastPrinted>
  <dcterms:modified xsi:type="dcterms:W3CDTF">2024-09-04T01:15:20Z</dcterms:modified>
  <cp:revision>104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F707DFA8686546688E4EF3093636D023</vt:lpwstr>
  </property>
</Properties>
</file>