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填报单位：邵阳市商务局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  填报日期：2021年6月10日   </w:t>
      </w:r>
    </w:p>
    <w:tbl>
      <w:tblPr>
        <w:tblW w:w="8335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1596"/>
        <w:gridCol w:w="1560"/>
        <w:gridCol w:w="854"/>
        <w:gridCol w:w="654"/>
        <w:gridCol w:w="1199"/>
        <w:gridCol w:w="3"/>
        <w:gridCol w:w="118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4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5865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市商务局招商引资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招商引资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  市商务局           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曾剑萍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吴伟明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 □经常性  □一次性  R新增  □延续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 及构成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总额</w:t>
            </w: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：20</w:t>
            </w:r>
            <w:bookmarkEnd w:id="0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万元，其中：省级财政  万元；市级财政20万元；其他   万元。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2020年部门预算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关于《邵阳市深化开放型经济体制改革实施方案》的通知（市政发[2016]31号）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无专家评审论证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                    R否 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R是                    □否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                  R否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                   R否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7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both"/>
            </w:pPr>
            <w:r>
              <w:rPr>
                <w:rFonts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《关于进一步加强招商引资工作的意见》、《邵阳市商务局外出招商引资活动管理办法》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夯实招商基础工作、参加和举办重点招商活动、突出七大产业链招商、积极创新招商方式、加强调度考核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</w:pPr>
            <w:r>
              <w:rPr>
                <w:rFonts w:hint="eastAsia" w:ascii="仿宋_GB2312" w:hAnsi="微软雅黑" w:eastAsia="仿宋_GB2312" w:cs="仿宋_GB2312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按月调度各县市区新发布项目、在谈项目、已签约项目、新引进外贸实体项目和主要领导带队外出招商等情况，适时调度各县市区对接粤港澳大湾区情况，报市委市政府主要领导审阅。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市级领导挂点联系重大招商项目、市直部门牵头、县市区（园区）落实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资金用于招商引资所产生的招待费、差旅费、交通费等支出，无虚列支出、截留挤占挪用、超标准开支等情况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58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《邵阳市商务局财务管理制度》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56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71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7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759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both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市累计签约项目301个（含第五届全球邵商大会项目130个），总投资额1077.63亿元。其中工业制造业项目207个，能源与城市基础设施建设项目26个，农业产业化项目26个，第三产业及其他项目42个。其中亿元以上项目194个，完成年度任务的188 %，总投资额1029.68亿元；10亿元以上项目29个，完成年度任务的120%，总投资566.22亿元；三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“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”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项目11个。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759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both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全年累计签约项目301个、引进三类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“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”</w:t>
            </w: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项目11个，增加财政税收；扩大就业，促进经济发展；围绕产业发展精准发力，优化营商环境，提高政府公信力，所有落地项目满意度高达95%。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759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优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759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0"/>
              <w:jc w:val="left"/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7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759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DF551C7"/>
    <w:rsid w:val="6DF5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1067</Words>
  <Characters>1308</Characters>
  <Lines>0</Lines>
  <Paragraphs>0</Paragraphs>
  <TotalTime>0</TotalTime>
  <ScaleCrop>false</ScaleCrop>
  <LinksUpToDate>false</LinksUpToDate>
  <CharactersWithSpaces>1334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2022-09-06T08:53:00Z</dcterms:created>
  <dc:creator>旧时光·不见旧人</dc:creator>
  <cp:lastModifiedBy>旧时光·不见旧人</cp:lastModifiedBy>
  <dcterms:modified xsi:type="dcterms:W3CDTF">2022-09-06T08:54:18Z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7D1C949DA4BA4108B0ACD47E174E59D6</vt:lpwstr>
  </property>
</Properties>
</file>