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仿宋_GB2312" w:hAnsi="宋体" w:eastAsia="仿宋_GB2312"/>
          <w:color w:val="000000"/>
          <w:sz w:val="44"/>
          <w:szCs w:val="28"/>
        </w:rPr>
      </w:pPr>
      <w:r>
        <w:rPr>
          <w:rFonts w:hint="eastAsia" w:ascii="仿宋_GB2312" w:hAnsi="宋体" w:eastAsia="仿宋_GB2312"/>
          <w:color w:val="000000"/>
          <w:sz w:val="44"/>
          <w:szCs w:val="28"/>
        </w:rPr>
        <w:t>专项</w:t>
      </w:r>
      <w:r>
        <w:rPr>
          <w:rFonts w:ascii="仿宋_GB2312" w:hAnsi="宋体" w:eastAsia="仿宋_GB2312"/>
          <w:color w:val="000000"/>
          <w:sz w:val="44"/>
          <w:szCs w:val="28"/>
        </w:rPr>
        <w:t>(</w:t>
      </w:r>
      <w:r>
        <w:rPr>
          <w:rFonts w:hint="eastAsia" w:ascii="仿宋_GB2312" w:hAnsi="宋体" w:eastAsia="仿宋_GB2312"/>
          <w:color w:val="000000"/>
          <w:sz w:val="44"/>
          <w:szCs w:val="28"/>
        </w:rPr>
        <w:t>项目</w:t>
      </w:r>
      <w:r>
        <w:rPr>
          <w:rFonts w:ascii="仿宋_GB2312" w:hAnsi="宋体" w:eastAsia="仿宋_GB2312"/>
          <w:color w:val="000000"/>
          <w:sz w:val="44"/>
          <w:szCs w:val="28"/>
        </w:rPr>
        <w:t>)</w:t>
      </w:r>
      <w:r>
        <w:rPr>
          <w:rFonts w:hint="eastAsia" w:ascii="仿宋_GB2312" w:hAnsi="宋体" w:eastAsia="仿宋_GB2312"/>
          <w:color w:val="000000"/>
          <w:sz w:val="44"/>
          <w:szCs w:val="28"/>
        </w:rPr>
        <w:t>资金支出绩效自评报告表</w:t>
      </w:r>
    </w:p>
    <w:p>
      <w:pPr>
        <w:jc w:val="center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（实施单位用）</w:t>
      </w:r>
    </w:p>
    <w:p>
      <w:pPr>
        <w:spacing w:line="360" w:lineRule="auto"/>
        <w:rPr>
          <w:rFonts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 xml:space="preserve">填报单位：邵阳市大祥区公路管理局   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    </w:t>
      </w:r>
      <w:r>
        <w:rPr>
          <w:rFonts w:hint="eastAsia" w:ascii="楷体" w:hAnsi="楷体" w:eastAsia="楷体" w:cs="楷体"/>
          <w:sz w:val="24"/>
          <w:szCs w:val="24"/>
        </w:rPr>
        <w:t>填报日期：</w:t>
      </w:r>
      <w:r>
        <w:rPr>
          <w:rFonts w:ascii="楷体" w:hAnsi="楷体" w:eastAsia="楷体" w:cs="楷体"/>
          <w:sz w:val="24"/>
          <w:szCs w:val="24"/>
        </w:rPr>
        <w:t xml:space="preserve"> 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2021</w:t>
      </w:r>
      <w:r>
        <w:rPr>
          <w:rFonts w:hint="eastAsia" w:ascii="楷体" w:hAnsi="楷体" w:eastAsia="楷体" w:cs="楷体"/>
          <w:sz w:val="24"/>
          <w:szCs w:val="24"/>
        </w:rPr>
        <w:t>年</w:t>
      </w:r>
      <w:r>
        <w:rPr>
          <w:rFonts w:ascii="楷体" w:hAnsi="楷体" w:eastAsia="楷体" w:cs="楷体"/>
          <w:sz w:val="24"/>
          <w:szCs w:val="24"/>
        </w:rPr>
        <w:t xml:space="preserve"> 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06</w:t>
      </w:r>
      <w:r>
        <w:rPr>
          <w:rFonts w:ascii="楷体" w:hAnsi="楷体" w:eastAsia="楷体" w:cs="楷体"/>
          <w:sz w:val="24"/>
          <w:szCs w:val="24"/>
        </w:rPr>
        <w:t xml:space="preserve"> </w:t>
      </w:r>
      <w:r>
        <w:rPr>
          <w:rFonts w:hint="eastAsia" w:ascii="楷体" w:hAnsi="楷体" w:eastAsia="楷体" w:cs="楷体"/>
          <w:sz w:val="24"/>
          <w:szCs w:val="24"/>
        </w:rPr>
        <w:t>月</w:t>
      </w:r>
      <w:r>
        <w:rPr>
          <w:rFonts w:ascii="楷体" w:hAnsi="楷体" w:eastAsia="楷体" w:cs="楷体"/>
          <w:sz w:val="24"/>
          <w:szCs w:val="24"/>
        </w:rPr>
        <w:t xml:space="preserve"> 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16</w:t>
      </w:r>
      <w:r>
        <w:rPr>
          <w:rFonts w:hint="eastAsia" w:ascii="楷体" w:hAnsi="楷体" w:eastAsia="楷体" w:cs="楷体"/>
          <w:sz w:val="24"/>
          <w:szCs w:val="24"/>
        </w:rPr>
        <w:t>日</w:t>
      </w:r>
      <w:r>
        <w:rPr>
          <w:rFonts w:ascii="楷体" w:hAnsi="楷体" w:eastAsia="楷体" w:cs="楷体"/>
          <w:sz w:val="24"/>
          <w:szCs w:val="24"/>
        </w:rPr>
        <w:t xml:space="preserve">   </w:t>
      </w:r>
    </w:p>
    <w:tbl>
      <w:tblPr>
        <w:tblStyle w:val="2"/>
        <w:tblW w:w="9096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"/>
        <w:gridCol w:w="2050"/>
        <w:gridCol w:w="1796"/>
        <w:gridCol w:w="600"/>
        <w:gridCol w:w="1305"/>
        <w:gridCol w:w="765"/>
        <w:gridCol w:w="660"/>
        <w:gridCol w:w="13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8" w:hRule="exact"/>
        </w:trPr>
        <w:tc>
          <w:tcPr>
            <w:tcW w:w="540" w:type="dxa"/>
            <w:vMerge w:val="restart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z w:val="24"/>
                <w:szCs w:val="24"/>
              </w:rPr>
              <w:t xml:space="preserve"> </w:t>
            </w: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z w:val="24"/>
                <w:szCs w:val="24"/>
              </w:rPr>
              <w:t xml:space="preserve"> </w:t>
            </w: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z w:val="24"/>
                <w:szCs w:val="24"/>
              </w:rPr>
              <w:t xml:space="preserve"> 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基本情况</w:t>
            </w: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</w:p>
        </w:tc>
        <w:tc>
          <w:tcPr>
            <w:tcW w:w="2050" w:type="dxa"/>
            <w:noWrap w:val="0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专项（项目）名称</w:t>
            </w:r>
          </w:p>
        </w:tc>
        <w:tc>
          <w:tcPr>
            <w:tcW w:w="6506" w:type="dxa"/>
            <w:gridSpan w:val="6"/>
            <w:noWrap w:val="0"/>
            <w:vAlign w:val="top"/>
          </w:tcPr>
          <w:p>
            <w:pPr>
              <w:spacing w:line="540" w:lineRule="exact"/>
              <w:jc w:val="left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</w:rPr>
              <w:t>补助公用支出及其他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19" w:hRule="exact"/>
        </w:trPr>
        <w:tc>
          <w:tcPr>
            <w:tcW w:w="540" w:type="dxa"/>
            <w:vMerge w:val="continue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</w:p>
        </w:tc>
        <w:tc>
          <w:tcPr>
            <w:tcW w:w="2050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专项（项目）</w:t>
            </w:r>
          </w:p>
          <w:p>
            <w:pPr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主要内容</w:t>
            </w:r>
          </w:p>
        </w:tc>
        <w:tc>
          <w:tcPr>
            <w:tcW w:w="6506" w:type="dxa"/>
            <w:gridSpan w:val="6"/>
            <w:noWrap w:val="0"/>
            <w:vAlign w:val="top"/>
          </w:tcPr>
          <w:p>
            <w:pPr>
              <w:spacing w:line="540" w:lineRule="exact"/>
              <w:ind w:firstLine="120" w:firstLineChars="5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管理部门的日常巡查及一线生产部门的经常性巡路，对公路的路况整体情况、日常养护开展情况及成效，存在的问题及整改，病害的及时发现与处治都有利于延长公路的使用寿命，最终达到降低养护成本，营造良好的通车环境，有利于民生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02" w:hRule="exact"/>
        </w:trPr>
        <w:tc>
          <w:tcPr>
            <w:tcW w:w="540" w:type="dxa"/>
            <w:vMerge w:val="continue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</w:p>
        </w:tc>
        <w:tc>
          <w:tcPr>
            <w:tcW w:w="2050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专项（项目）</w:t>
            </w:r>
          </w:p>
          <w:p>
            <w:pPr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单位</w:t>
            </w:r>
          </w:p>
        </w:tc>
        <w:tc>
          <w:tcPr>
            <w:tcW w:w="2396" w:type="dxa"/>
            <w:gridSpan w:val="2"/>
            <w:noWrap w:val="0"/>
            <w:vAlign w:val="top"/>
          </w:tcPr>
          <w:p>
            <w:pPr>
              <w:spacing w:line="540" w:lineRule="exac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邵阳市大祥区公路管理局</w:t>
            </w:r>
          </w:p>
        </w:tc>
        <w:tc>
          <w:tcPr>
            <w:tcW w:w="207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专项（项目）</w:t>
            </w:r>
          </w:p>
          <w:p>
            <w:pPr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主管部门</w:t>
            </w:r>
          </w:p>
        </w:tc>
        <w:tc>
          <w:tcPr>
            <w:tcW w:w="2040" w:type="dxa"/>
            <w:gridSpan w:val="2"/>
            <w:noWrap w:val="0"/>
            <w:vAlign w:val="top"/>
          </w:tcPr>
          <w:p>
            <w:pPr>
              <w:spacing w:line="540" w:lineRule="exact"/>
              <w:jc w:val="left"/>
              <w:rPr>
                <w:rFonts w:ascii="楷体" w:hAnsi="楷体" w:eastAsia="楷体" w:cs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90" w:hRule="exact"/>
        </w:trPr>
        <w:tc>
          <w:tcPr>
            <w:tcW w:w="540" w:type="dxa"/>
            <w:vMerge w:val="continue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</w:p>
        </w:tc>
        <w:tc>
          <w:tcPr>
            <w:tcW w:w="2050" w:type="dxa"/>
            <w:noWrap w:val="0"/>
            <w:vAlign w:val="center"/>
          </w:tcPr>
          <w:p>
            <w:pPr>
              <w:spacing w:line="540" w:lineRule="exac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单位负责人</w:t>
            </w:r>
          </w:p>
        </w:tc>
        <w:tc>
          <w:tcPr>
            <w:tcW w:w="2396" w:type="dxa"/>
            <w:gridSpan w:val="2"/>
            <w:noWrap w:val="0"/>
            <w:vAlign w:val="top"/>
          </w:tcPr>
          <w:p>
            <w:pPr>
              <w:spacing w:line="540" w:lineRule="exact"/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姚军军</w:t>
            </w:r>
          </w:p>
        </w:tc>
        <w:tc>
          <w:tcPr>
            <w:tcW w:w="207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专项（项目）</w:t>
            </w:r>
          </w:p>
          <w:p>
            <w:pPr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负责人</w:t>
            </w:r>
          </w:p>
        </w:tc>
        <w:tc>
          <w:tcPr>
            <w:tcW w:w="2040" w:type="dxa"/>
            <w:gridSpan w:val="2"/>
            <w:noWrap w:val="0"/>
            <w:vAlign w:val="top"/>
          </w:tcPr>
          <w:p>
            <w:pPr>
              <w:spacing w:line="540" w:lineRule="exact"/>
              <w:jc w:val="center"/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曾邵梅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7" w:hRule="exact"/>
        </w:trPr>
        <w:tc>
          <w:tcPr>
            <w:tcW w:w="540" w:type="dxa"/>
            <w:vMerge w:val="continue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</w:p>
        </w:tc>
        <w:tc>
          <w:tcPr>
            <w:tcW w:w="2050" w:type="dxa"/>
            <w:noWrap w:val="0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专项（项目）属性</w:t>
            </w:r>
          </w:p>
        </w:tc>
        <w:tc>
          <w:tcPr>
            <w:tcW w:w="6506" w:type="dxa"/>
            <w:gridSpan w:val="6"/>
            <w:noWrap w:val="0"/>
            <w:vAlign w:val="top"/>
          </w:tcPr>
          <w:p>
            <w:pPr>
              <w:spacing w:line="540" w:lineRule="exact"/>
              <w:jc w:val="left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 xml:space="preserve">　□经常性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√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 xml:space="preserve">  　　□一次性　</w:t>
            </w: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 xml:space="preserve"> □新增　 　□延续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02" w:hRule="exact"/>
        </w:trPr>
        <w:tc>
          <w:tcPr>
            <w:tcW w:w="540" w:type="dxa"/>
            <w:vMerge w:val="continue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</w:p>
        </w:tc>
        <w:tc>
          <w:tcPr>
            <w:tcW w:w="2050" w:type="dxa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资金总额及构成</w:t>
            </w:r>
          </w:p>
        </w:tc>
        <w:tc>
          <w:tcPr>
            <w:tcW w:w="6506" w:type="dxa"/>
            <w:gridSpan w:val="6"/>
            <w:noWrap w:val="0"/>
            <w:vAlign w:val="top"/>
          </w:tcPr>
          <w:p>
            <w:pPr>
              <w:spacing w:line="440" w:lineRule="exact"/>
              <w:jc w:val="left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总额：</w:t>
            </w: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16.8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万元，其中：省级财政　　万元；市级财政</w:t>
            </w: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16.8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万元；其他　　　万元</w:t>
            </w:r>
          </w:p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4" w:hRule="exact"/>
        </w:trPr>
        <w:tc>
          <w:tcPr>
            <w:tcW w:w="540" w:type="dxa"/>
            <w:vMerge w:val="continue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</w:p>
        </w:tc>
        <w:tc>
          <w:tcPr>
            <w:tcW w:w="2050" w:type="dxa"/>
            <w:noWrap w:val="0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专项（项目）起止时间</w:t>
            </w:r>
          </w:p>
        </w:tc>
        <w:tc>
          <w:tcPr>
            <w:tcW w:w="6506" w:type="dxa"/>
            <w:gridSpan w:val="6"/>
            <w:noWrap w:val="0"/>
            <w:vAlign w:val="top"/>
          </w:tcPr>
          <w:p>
            <w:pPr>
              <w:spacing w:line="560" w:lineRule="exact"/>
              <w:ind w:firstLine="360" w:firstLineChars="150"/>
              <w:jc w:val="left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20</w:t>
            </w: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20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年01月起至</w:t>
            </w: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2020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年</w:t>
            </w: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12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月止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43" w:hRule="exact"/>
        </w:trPr>
        <w:tc>
          <w:tcPr>
            <w:tcW w:w="540" w:type="dxa"/>
            <w:vMerge w:val="restart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实施情况</w:t>
            </w:r>
          </w:p>
        </w:tc>
        <w:tc>
          <w:tcPr>
            <w:tcW w:w="2050" w:type="dxa"/>
            <w:noWrap w:val="0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专项（项目）立项依据</w:t>
            </w:r>
          </w:p>
        </w:tc>
        <w:tc>
          <w:tcPr>
            <w:tcW w:w="6506" w:type="dxa"/>
            <w:gridSpan w:val="6"/>
            <w:noWrap w:val="0"/>
            <w:vAlign w:val="top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邵财预[</w:t>
            </w: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2020</w:t>
            </w: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]</w:t>
            </w: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2号，邵阳市财政局关于批复市直事业单位部门预算的通知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4" w:hRule="exact"/>
        </w:trPr>
        <w:tc>
          <w:tcPr>
            <w:tcW w:w="540" w:type="dxa"/>
            <w:vMerge w:val="continue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</w:p>
        </w:tc>
        <w:tc>
          <w:tcPr>
            <w:tcW w:w="2050" w:type="dxa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可行性研究报告结论</w:t>
            </w:r>
          </w:p>
        </w:tc>
        <w:tc>
          <w:tcPr>
            <w:tcW w:w="6506" w:type="dxa"/>
            <w:gridSpan w:val="6"/>
            <w:noWrap w:val="0"/>
            <w:vAlign w:val="top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该专项（项目）</w:t>
            </w: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有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可行性研究报告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0" w:hRule="exact"/>
        </w:trPr>
        <w:tc>
          <w:tcPr>
            <w:tcW w:w="540" w:type="dxa"/>
            <w:vMerge w:val="continue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</w:p>
        </w:tc>
        <w:tc>
          <w:tcPr>
            <w:tcW w:w="2050" w:type="dxa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专家评审论证结论</w:t>
            </w:r>
          </w:p>
        </w:tc>
        <w:tc>
          <w:tcPr>
            <w:tcW w:w="6506" w:type="dxa"/>
            <w:gridSpan w:val="6"/>
            <w:noWrap w:val="0"/>
            <w:vAlign w:val="top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有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专家评审论证结论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exact"/>
        </w:trPr>
        <w:tc>
          <w:tcPr>
            <w:tcW w:w="540" w:type="dxa"/>
            <w:vMerge w:val="continue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</w:p>
        </w:tc>
        <w:tc>
          <w:tcPr>
            <w:tcW w:w="2050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是否实施政府采购及金额</w:t>
            </w: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</w:p>
        </w:tc>
        <w:tc>
          <w:tcPr>
            <w:tcW w:w="6506" w:type="dxa"/>
            <w:gridSpan w:val="6"/>
            <w:noWrap w:val="0"/>
            <w:vAlign w:val="top"/>
          </w:tcPr>
          <w:p>
            <w:pPr>
              <w:spacing w:line="360" w:lineRule="exac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□是　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                 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□否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√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应采购金额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万元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     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实际采购金额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7" w:hRule="exact"/>
        </w:trPr>
        <w:tc>
          <w:tcPr>
            <w:tcW w:w="540" w:type="dxa"/>
            <w:vMerge w:val="continue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</w:p>
        </w:tc>
        <w:tc>
          <w:tcPr>
            <w:tcW w:w="2050" w:type="dxa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是否实行招投标</w:t>
            </w:r>
          </w:p>
        </w:tc>
        <w:tc>
          <w:tcPr>
            <w:tcW w:w="6506" w:type="dxa"/>
            <w:gridSpan w:val="6"/>
            <w:noWrap w:val="0"/>
            <w:vAlign w:val="top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□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是　　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               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□否√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6" w:hRule="exact"/>
        </w:trPr>
        <w:tc>
          <w:tcPr>
            <w:tcW w:w="540" w:type="dxa"/>
            <w:vMerge w:val="continue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</w:p>
        </w:tc>
        <w:tc>
          <w:tcPr>
            <w:tcW w:w="2050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是否实行国库</w:t>
            </w:r>
            <w:r>
              <w:rPr>
                <w:rFonts w:ascii="楷体" w:hAnsi="楷体" w:eastAsia="楷体" w:cs="楷体"/>
                <w:sz w:val="24"/>
                <w:szCs w:val="24"/>
              </w:rPr>
              <w:t xml:space="preserve">     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集中支付</w:t>
            </w:r>
          </w:p>
        </w:tc>
        <w:tc>
          <w:tcPr>
            <w:tcW w:w="6506" w:type="dxa"/>
            <w:gridSpan w:val="6"/>
            <w:noWrap w:val="0"/>
            <w:vAlign w:val="top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□是　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               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□否√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6" w:hRule="exact"/>
        </w:trPr>
        <w:tc>
          <w:tcPr>
            <w:tcW w:w="540" w:type="dxa"/>
            <w:vMerge w:val="continue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</w:p>
        </w:tc>
        <w:tc>
          <w:tcPr>
            <w:tcW w:w="2050" w:type="dxa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是否实行资金报账制</w:t>
            </w:r>
          </w:p>
        </w:tc>
        <w:tc>
          <w:tcPr>
            <w:tcW w:w="6506" w:type="dxa"/>
            <w:gridSpan w:val="6"/>
            <w:noWrap w:val="0"/>
            <w:vAlign w:val="top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□是　√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            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 xml:space="preserve">   　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7" w:hRule="exact"/>
        </w:trPr>
        <w:tc>
          <w:tcPr>
            <w:tcW w:w="540" w:type="dxa"/>
            <w:vMerge w:val="continue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</w:p>
        </w:tc>
        <w:tc>
          <w:tcPr>
            <w:tcW w:w="205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是否实行工程代理和投资评审制</w:t>
            </w:r>
          </w:p>
        </w:tc>
        <w:tc>
          <w:tcPr>
            <w:tcW w:w="6506" w:type="dxa"/>
            <w:gridSpan w:val="6"/>
            <w:noWrap w:val="0"/>
            <w:vAlign w:val="top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□是　　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         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   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□否√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8" w:hRule="exact"/>
        </w:trPr>
        <w:tc>
          <w:tcPr>
            <w:tcW w:w="540" w:type="dxa"/>
            <w:vMerge w:val="continue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</w:p>
        </w:tc>
        <w:tc>
          <w:tcPr>
            <w:tcW w:w="2050" w:type="dxa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是否实行合同管理制</w:t>
            </w:r>
          </w:p>
        </w:tc>
        <w:tc>
          <w:tcPr>
            <w:tcW w:w="6506" w:type="dxa"/>
            <w:gridSpan w:val="6"/>
            <w:noWrap w:val="0"/>
            <w:vAlign w:val="top"/>
          </w:tcPr>
          <w:p>
            <w:pPr>
              <w:spacing w:line="56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□是　√　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          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 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□否</w:t>
            </w:r>
          </w:p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5" w:hRule="exact"/>
        </w:trPr>
        <w:tc>
          <w:tcPr>
            <w:tcW w:w="540" w:type="dxa"/>
            <w:vMerge w:val="continue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</w:p>
        </w:tc>
        <w:tc>
          <w:tcPr>
            <w:tcW w:w="2050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是否实行财政双控账户管理</w:t>
            </w:r>
          </w:p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管理</w:t>
            </w:r>
          </w:p>
        </w:tc>
        <w:tc>
          <w:tcPr>
            <w:tcW w:w="6506" w:type="dxa"/>
            <w:gridSpan w:val="6"/>
            <w:noWrap w:val="0"/>
            <w:vAlign w:val="top"/>
          </w:tcPr>
          <w:p>
            <w:pPr>
              <w:spacing w:line="56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□是　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       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 xml:space="preserve">     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□否√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0" w:hRule="exact"/>
        </w:trPr>
        <w:tc>
          <w:tcPr>
            <w:tcW w:w="540" w:type="dxa"/>
            <w:vMerge w:val="continue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</w:p>
        </w:tc>
        <w:tc>
          <w:tcPr>
            <w:tcW w:w="2050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是否实行财政专户管理</w:t>
            </w:r>
          </w:p>
        </w:tc>
        <w:tc>
          <w:tcPr>
            <w:tcW w:w="6506" w:type="dxa"/>
            <w:gridSpan w:val="6"/>
            <w:noWrap w:val="0"/>
            <w:vAlign w:val="top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 xml:space="preserve">□是   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       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 xml:space="preserve">     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□否√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69" w:hRule="exact"/>
        </w:trPr>
        <w:tc>
          <w:tcPr>
            <w:tcW w:w="540" w:type="dxa"/>
            <w:vMerge w:val="restar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管理情况</w:t>
            </w:r>
          </w:p>
        </w:tc>
        <w:tc>
          <w:tcPr>
            <w:tcW w:w="2050" w:type="dxa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管理制度和办法名称</w:t>
            </w:r>
          </w:p>
        </w:tc>
        <w:tc>
          <w:tcPr>
            <w:tcW w:w="6506" w:type="dxa"/>
            <w:gridSpan w:val="6"/>
            <w:noWrap w:val="0"/>
            <w:vAlign w:val="top"/>
          </w:tcPr>
          <w:p>
            <w:pPr>
              <w:spacing w:line="360" w:lineRule="exact"/>
              <w:jc w:val="left"/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邵阳市大祥区公路管理局公路养护管理办法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73" w:hRule="exact"/>
        </w:trPr>
        <w:tc>
          <w:tcPr>
            <w:tcW w:w="540" w:type="dxa"/>
            <w:vMerge w:val="continue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</w:p>
        </w:tc>
        <w:tc>
          <w:tcPr>
            <w:tcW w:w="2050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具体工作措施</w:t>
            </w:r>
          </w:p>
        </w:tc>
        <w:tc>
          <w:tcPr>
            <w:tcW w:w="6506" w:type="dxa"/>
            <w:gridSpan w:val="6"/>
            <w:noWrap w:val="0"/>
            <w:vAlign w:val="top"/>
          </w:tcPr>
          <w:p>
            <w:pPr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保证公路桥梁的正常使用，延长公路桥梁的使用寿命，最终降低了公路桥梁的的养护成本，营造良好的通车环境，营造良好和谐的人民生活环境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11" w:hRule="exact"/>
        </w:trPr>
        <w:tc>
          <w:tcPr>
            <w:tcW w:w="540" w:type="dxa"/>
            <w:vMerge w:val="continue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</w:p>
        </w:tc>
        <w:tc>
          <w:tcPr>
            <w:tcW w:w="2050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专项（项目）调整内容及报批程序和手续</w:t>
            </w:r>
          </w:p>
        </w:tc>
        <w:tc>
          <w:tcPr>
            <w:tcW w:w="6506" w:type="dxa"/>
            <w:gridSpan w:val="6"/>
            <w:noWrap w:val="0"/>
            <w:vAlign w:val="center"/>
          </w:tcPr>
          <w:p>
            <w:pPr>
              <w:spacing w:line="320" w:lineRule="exact"/>
              <w:jc w:val="left"/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邵财预[</w:t>
            </w: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2020</w:t>
            </w: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]</w:t>
            </w: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2号，邵阳市财政局关于批复市直事业单位部门预算的通知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7" w:hRule="exact"/>
        </w:trPr>
        <w:tc>
          <w:tcPr>
            <w:tcW w:w="540" w:type="dxa"/>
            <w:vMerge w:val="continue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</w:p>
        </w:tc>
        <w:tc>
          <w:tcPr>
            <w:tcW w:w="2050" w:type="dxa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专项（项目）完工验收情况</w:t>
            </w:r>
          </w:p>
        </w:tc>
        <w:tc>
          <w:tcPr>
            <w:tcW w:w="6506" w:type="dxa"/>
            <w:gridSpan w:val="6"/>
            <w:noWrap w:val="0"/>
            <w:vAlign w:val="center"/>
          </w:tcPr>
          <w:p>
            <w:pP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已完工并验收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79" w:hRule="exact"/>
        </w:trPr>
        <w:tc>
          <w:tcPr>
            <w:tcW w:w="540" w:type="dxa"/>
            <w:vMerge w:val="restart"/>
            <w:noWrap w:val="0"/>
            <w:vAlign w:val="top"/>
          </w:tcPr>
          <w:p>
            <w:pPr>
              <w:spacing w:line="240" w:lineRule="atLeast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资金管理情况</w:t>
            </w:r>
          </w:p>
        </w:tc>
        <w:tc>
          <w:tcPr>
            <w:tcW w:w="2050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资金使用管理</w:t>
            </w:r>
          </w:p>
        </w:tc>
        <w:tc>
          <w:tcPr>
            <w:tcW w:w="6506" w:type="dxa"/>
            <w:gridSpan w:val="6"/>
            <w:noWrap w:val="0"/>
            <w:vAlign w:val="center"/>
          </w:tcPr>
          <w:p>
            <w:pPr>
              <w:jc w:val="left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资金在标准范围内使用，无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虚列支出、截留挤占挪用、超标准开支、无超预算等情况。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09" w:hRule="exact"/>
        </w:trPr>
        <w:tc>
          <w:tcPr>
            <w:tcW w:w="540" w:type="dxa"/>
            <w:vMerge w:val="continue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</w:p>
        </w:tc>
        <w:tc>
          <w:tcPr>
            <w:tcW w:w="2050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财务管理制度</w:t>
            </w:r>
          </w:p>
        </w:tc>
        <w:tc>
          <w:tcPr>
            <w:tcW w:w="6506" w:type="dxa"/>
            <w:gridSpan w:val="6"/>
            <w:noWrap w:val="0"/>
            <w:vAlign w:val="center"/>
          </w:tcPr>
          <w:p>
            <w:pPr>
              <w:spacing w:line="560" w:lineRule="exact"/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邵阳市大祥区公路管理局财务审计管理制度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2" w:hRule="exact"/>
        </w:trPr>
        <w:tc>
          <w:tcPr>
            <w:tcW w:w="540" w:type="dxa"/>
            <w:vMerge w:val="restart"/>
            <w:noWrap w:val="0"/>
            <w:vAlign w:val="center"/>
          </w:tcPr>
          <w:p>
            <w:pPr>
              <w:spacing w:line="500" w:lineRule="exac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资金安排使用情况</w:t>
            </w:r>
          </w:p>
        </w:tc>
        <w:tc>
          <w:tcPr>
            <w:tcW w:w="2050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内容</w:t>
            </w:r>
          </w:p>
        </w:tc>
        <w:tc>
          <w:tcPr>
            <w:tcW w:w="1796" w:type="dxa"/>
            <w:noWrap w:val="0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应到位资金（万元）</w:t>
            </w:r>
          </w:p>
        </w:tc>
        <w:tc>
          <w:tcPr>
            <w:tcW w:w="1905" w:type="dxa"/>
            <w:gridSpan w:val="2"/>
            <w:noWrap w:val="0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实际到位资金（万元）</w:t>
            </w:r>
          </w:p>
        </w:tc>
        <w:tc>
          <w:tcPr>
            <w:tcW w:w="1425" w:type="dxa"/>
            <w:gridSpan w:val="2"/>
            <w:noWrap w:val="0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实际支出（万元）</w:t>
            </w:r>
          </w:p>
        </w:tc>
        <w:tc>
          <w:tcPr>
            <w:tcW w:w="1380" w:type="dxa"/>
            <w:noWrap w:val="0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结余资金（万元）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1" w:hRule="exact"/>
        </w:trPr>
        <w:tc>
          <w:tcPr>
            <w:tcW w:w="540" w:type="dxa"/>
            <w:vMerge w:val="continue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</w:p>
        </w:tc>
        <w:tc>
          <w:tcPr>
            <w:tcW w:w="2050" w:type="dxa"/>
            <w:noWrap w:val="0"/>
            <w:vAlign w:val="center"/>
          </w:tcPr>
          <w:p>
            <w:pPr>
              <w:ind w:firstLine="240" w:firstLineChars="10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中央财政</w:t>
            </w:r>
          </w:p>
        </w:tc>
        <w:tc>
          <w:tcPr>
            <w:tcW w:w="1796" w:type="dxa"/>
            <w:noWrap w:val="0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z w:val="24"/>
                <w:szCs w:val="24"/>
              </w:rPr>
              <w:t xml:space="preserve">       </w:t>
            </w:r>
          </w:p>
        </w:tc>
        <w:tc>
          <w:tcPr>
            <w:tcW w:w="1905" w:type="dxa"/>
            <w:gridSpan w:val="2"/>
            <w:noWrap w:val="0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</w:p>
        </w:tc>
        <w:tc>
          <w:tcPr>
            <w:tcW w:w="1425" w:type="dxa"/>
            <w:gridSpan w:val="2"/>
            <w:noWrap w:val="0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</w:p>
        </w:tc>
        <w:tc>
          <w:tcPr>
            <w:tcW w:w="1380" w:type="dxa"/>
            <w:noWrap w:val="0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7" w:hRule="exact"/>
        </w:trPr>
        <w:tc>
          <w:tcPr>
            <w:tcW w:w="540" w:type="dxa"/>
            <w:vMerge w:val="continue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</w:p>
        </w:tc>
        <w:tc>
          <w:tcPr>
            <w:tcW w:w="2050" w:type="dxa"/>
            <w:noWrap w:val="0"/>
            <w:vAlign w:val="center"/>
          </w:tcPr>
          <w:p>
            <w:pPr>
              <w:ind w:firstLine="240" w:firstLineChars="10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省级财政</w:t>
            </w:r>
          </w:p>
        </w:tc>
        <w:tc>
          <w:tcPr>
            <w:tcW w:w="1796" w:type="dxa"/>
            <w:noWrap w:val="0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</w:p>
        </w:tc>
        <w:tc>
          <w:tcPr>
            <w:tcW w:w="1905" w:type="dxa"/>
            <w:gridSpan w:val="2"/>
            <w:noWrap w:val="0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</w:p>
        </w:tc>
        <w:tc>
          <w:tcPr>
            <w:tcW w:w="1425" w:type="dxa"/>
            <w:gridSpan w:val="2"/>
            <w:noWrap w:val="0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</w:p>
        </w:tc>
        <w:tc>
          <w:tcPr>
            <w:tcW w:w="1380" w:type="dxa"/>
            <w:noWrap w:val="0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5" w:hRule="exact"/>
        </w:trPr>
        <w:tc>
          <w:tcPr>
            <w:tcW w:w="540" w:type="dxa"/>
            <w:vMerge w:val="continue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</w:p>
        </w:tc>
        <w:tc>
          <w:tcPr>
            <w:tcW w:w="2050" w:type="dxa"/>
            <w:noWrap w:val="0"/>
            <w:vAlign w:val="center"/>
          </w:tcPr>
          <w:p>
            <w:pPr>
              <w:ind w:firstLine="240" w:firstLineChars="100"/>
              <w:jc w:val="both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市级财政</w:t>
            </w:r>
          </w:p>
        </w:tc>
        <w:tc>
          <w:tcPr>
            <w:tcW w:w="1796" w:type="dxa"/>
            <w:noWrap w:val="0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30</w:t>
            </w:r>
          </w:p>
        </w:tc>
        <w:tc>
          <w:tcPr>
            <w:tcW w:w="1905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30</w:t>
            </w:r>
          </w:p>
        </w:tc>
        <w:tc>
          <w:tcPr>
            <w:tcW w:w="1425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30</w:t>
            </w:r>
          </w:p>
        </w:tc>
        <w:tc>
          <w:tcPr>
            <w:tcW w:w="1380" w:type="dxa"/>
            <w:noWrap w:val="0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1" w:hRule="exact"/>
        </w:trPr>
        <w:tc>
          <w:tcPr>
            <w:tcW w:w="540" w:type="dxa"/>
            <w:vMerge w:val="continue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</w:p>
        </w:tc>
        <w:tc>
          <w:tcPr>
            <w:tcW w:w="2050" w:type="dxa"/>
            <w:noWrap w:val="0"/>
            <w:vAlign w:val="center"/>
          </w:tcPr>
          <w:p>
            <w:pPr>
              <w:ind w:firstLine="480" w:firstLineChars="20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其  它</w:t>
            </w:r>
          </w:p>
        </w:tc>
        <w:tc>
          <w:tcPr>
            <w:tcW w:w="1796" w:type="dxa"/>
            <w:noWrap w:val="0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</w:p>
        </w:tc>
        <w:tc>
          <w:tcPr>
            <w:tcW w:w="1905" w:type="dxa"/>
            <w:gridSpan w:val="2"/>
            <w:noWrap w:val="0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</w:p>
        </w:tc>
        <w:tc>
          <w:tcPr>
            <w:tcW w:w="1425" w:type="dxa"/>
            <w:gridSpan w:val="2"/>
            <w:noWrap w:val="0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</w:p>
        </w:tc>
        <w:tc>
          <w:tcPr>
            <w:tcW w:w="1380" w:type="dxa"/>
            <w:noWrap w:val="0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4" w:hRule="exact"/>
        </w:trPr>
        <w:tc>
          <w:tcPr>
            <w:tcW w:w="540" w:type="dxa"/>
            <w:vMerge w:val="continue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</w:p>
        </w:tc>
        <w:tc>
          <w:tcPr>
            <w:tcW w:w="2050" w:type="dxa"/>
            <w:noWrap w:val="0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合　　计</w:t>
            </w:r>
          </w:p>
        </w:tc>
        <w:tc>
          <w:tcPr>
            <w:tcW w:w="1796" w:type="dxa"/>
            <w:noWrap w:val="0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30</w:t>
            </w:r>
          </w:p>
        </w:tc>
        <w:tc>
          <w:tcPr>
            <w:tcW w:w="1905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30</w:t>
            </w:r>
          </w:p>
        </w:tc>
        <w:tc>
          <w:tcPr>
            <w:tcW w:w="1425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30</w:t>
            </w:r>
          </w:p>
        </w:tc>
        <w:tc>
          <w:tcPr>
            <w:tcW w:w="1380" w:type="dxa"/>
            <w:noWrap w:val="0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2" w:hRule="atLeast"/>
        </w:trPr>
        <w:tc>
          <w:tcPr>
            <w:tcW w:w="540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产出成果</w:t>
            </w:r>
          </w:p>
        </w:tc>
        <w:tc>
          <w:tcPr>
            <w:tcW w:w="8556" w:type="dxa"/>
            <w:gridSpan w:val="7"/>
            <w:noWrap w:val="0"/>
            <w:vAlign w:val="top"/>
          </w:tcPr>
          <w:p>
            <w:pPr>
              <w:ind w:firstLine="240" w:firstLineChars="10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日常的公路巡查，桥梁的经常性检查，不定期检查等等，资金100%到位；一线生产人员的日常巡路，交通车辆，日常开支，资金100%到位；管养单位及时实施整改，形成发现问题，通报情况，实施整改，督查检查，整改到位的完全闭合；第一时间发现病害及时处治，以及观察病害的发展情况和存在的安全隐患并及时上报。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0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20" w:lineRule="exact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产出效益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　</w:t>
            </w: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经济效益：做好道路与桥梁的初期服役和中期的预防性养护，使病害在使用初期即得到有效的控制，降低养护成本，延长道路桥梁的使用寿命；社会效益：保证畅通安全的通车环境，营造和谐的人民生活环境；服务对象满意度：人民满意度100%。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7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20" w:lineRule="exact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自评结论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　</w:t>
            </w:r>
          </w:p>
          <w:p>
            <w:pPr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根据单位自评，本单位此项目资金投入结论为良好。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9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20" w:lineRule="exact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问题与建议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　</w:t>
            </w: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此项项目资金的投入能基本保证此项目的运行，基本保证道路的优质通畅，但公用支出及其它资金缺口较大，在预算经费安排的时候，尽可能保证或增加。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95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主管部门审核意见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firstLine="120" w:firstLineChars="50"/>
              <w:rPr>
                <w:rFonts w:ascii="楷体" w:hAnsi="楷体" w:eastAsia="楷体" w:cs="楷体"/>
                <w:sz w:val="24"/>
                <w:szCs w:val="24"/>
              </w:rPr>
            </w:pPr>
          </w:p>
          <w:p>
            <w:pPr>
              <w:ind w:firstLine="3840" w:firstLineChars="1600"/>
              <w:rPr>
                <w:rFonts w:ascii="楷体" w:hAnsi="楷体" w:eastAsia="楷体" w:cs="楷体"/>
                <w:sz w:val="24"/>
                <w:szCs w:val="24"/>
              </w:rPr>
            </w:pPr>
          </w:p>
          <w:p>
            <w:pPr>
              <w:ind w:firstLine="3840" w:firstLineChars="1600"/>
              <w:rPr>
                <w:rFonts w:ascii="楷体" w:hAnsi="楷体" w:eastAsia="楷体" w:cs="楷体"/>
                <w:sz w:val="24"/>
                <w:szCs w:val="24"/>
              </w:rPr>
            </w:pPr>
          </w:p>
          <w:p>
            <w:pPr>
              <w:ind w:firstLine="3840" w:firstLineChars="1600"/>
              <w:rPr>
                <w:rFonts w:ascii="楷体" w:hAnsi="楷体" w:eastAsia="楷体" w:cs="楷体"/>
                <w:sz w:val="24"/>
                <w:szCs w:val="24"/>
              </w:rPr>
            </w:pPr>
          </w:p>
          <w:p>
            <w:pPr>
              <w:ind w:firstLine="3840" w:firstLineChars="1600"/>
              <w:rPr>
                <w:rFonts w:hint="eastAsia" w:ascii="楷体" w:hAnsi="楷体" w:eastAsia="楷体" w:cs="楷体"/>
                <w:sz w:val="24"/>
                <w:szCs w:val="24"/>
              </w:rPr>
            </w:pPr>
          </w:p>
          <w:p>
            <w:pPr>
              <w:ind w:firstLine="3840" w:firstLineChars="1600"/>
              <w:rPr>
                <w:rFonts w:hint="eastAsia" w:ascii="楷体" w:hAnsi="楷体" w:eastAsia="楷体" w:cs="楷体"/>
                <w:sz w:val="24"/>
                <w:szCs w:val="24"/>
              </w:rPr>
            </w:pPr>
          </w:p>
          <w:p>
            <w:pPr>
              <w:ind w:firstLine="3840" w:firstLineChars="160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主管部门（盖章）：</w:t>
            </w:r>
          </w:p>
        </w:tc>
      </w:tr>
    </w:tbl>
    <w:p>
      <w:pPr>
        <w:spacing w:line="480" w:lineRule="exact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单位负责人（签章）：</w:t>
      </w:r>
    </w:p>
    <w:p>
      <w:pPr>
        <w:spacing w:line="480" w:lineRule="exact"/>
        <w:rPr>
          <w:rFonts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专项（项目）负责人（签章）：</w:t>
      </w:r>
    </w:p>
    <w:p>
      <w:pPr>
        <w:spacing w:line="480" w:lineRule="exact"/>
        <w:rPr>
          <w:rFonts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评价负责人（签章）：</w:t>
      </w:r>
    </w:p>
    <w:p/>
    <w:p>
      <w:pPr>
        <w:spacing w:line="480" w:lineRule="exact"/>
        <w:rPr>
          <w:rFonts w:hint="eastAsia" w:ascii="楷体" w:hAnsi="楷体" w:eastAsia="楷体" w:cs="楷体"/>
          <w:sz w:val="24"/>
          <w:szCs w:val="24"/>
        </w:rPr>
      </w:pPr>
    </w:p>
    <w:p>
      <w:pPr>
        <w:spacing w:line="480" w:lineRule="exact"/>
        <w:rPr>
          <w:rFonts w:hint="eastAsia" w:ascii="楷体" w:hAnsi="楷体" w:eastAsia="楷体" w:cs="楷体"/>
          <w:sz w:val="24"/>
          <w:szCs w:val="24"/>
        </w:rPr>
      </w:pPr>
    </w:p>
    <w:p>
      <w:pPr>
        <w:spacing w:line="480" w:lineRule="exact"/>
        <w:rPr>
          <w:rFonts w:hint="eastAsia" w:ascii="楷体" w:hAnsi="楷体" w:eastAsia="楷体" w:cs="楷体"/>
          <w:sz w:val="24"/>
          <w:szCs w:val="24"/>
        </w:rPr>
      </w:pPr>
    </w:p>
    <w:p>
      <w:pPr>
        <w:spacing w:line="480" w:lineRule="exact"/>
        <w:rPr>
          <w:rFonts w:hint="eastAsia" w:ascii="楷体" w:hAnsi="楷体" w:eastAsia="楷体" w:cs="楷体"/>
          <w:sz w:val="24"/>
          <w:szCs w:val="24"/>
        </w:rPr>
      </w:pPr>
    </w:p>
    <w:p>
      <w:pPr>
        <w:spacing w:line="480" w:lineRule="exact"/>
        <w:rPr>
          <w:rFonts w:hint="eastAsia" w:ascii="楷体" w:hAnsi="楷体" w:eastAsia="楷体" w:cs="楷体"/>
          <w:sz w:val="24"/>
          <w:szCs w:val="24"/>
        </w:rPr>
      </w:pPr>
    </w:p>
    <w:p>
      <w:pPr>
        <w:spacing w:line="480" w:lineRule="exact"/>
        <w:rPr>
          <w:rFonts w:hint="eastAsia" w:ascii="楷体" w:hAnsi="楷体" w:eastAsia="楷体" w:cs="楷体"/>
          <w:sz w:val="24"/>
          <w:szCs w:val="24"/>
        </w:rPr>
      </w:pPr>
    </w:p>
    <w:p>
      <w:pPr>
        <w:spacing w:line="480" w:lineRule="exact"/>
        <w:rPr>
          <w:rFonts w:hint="eastAsia" w:ascii="楷体" w:hAnsi="楷体" w:eastAsia="楷体" w:cs="楷体"/>
          <w:sz w:val="24"/>
          <w:szCs w:val="24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hkN2FhMmY2M2Q3M2NhNTFlZmFkNDRjYTgxM2E1ZTMifQ=="/>
  </w:docVars>
  <w:rsids>
    <w:rsidRoot w:val="17620A2C"/>
    <w:rsid w:val="00617AD5"/>
    <w:rsid w:val="05A1548D"/>
    <w:rsid w:val="0AC47DED"/>
    <w:rsid w:val="15FE3B68"/>
    <w:rsid w:val="17620A2C"/>
    <w:rsid w:val="215F70A8"/>
    <w:rsid w:val="295B275A"/>
    <w:rsid w:val="2AE50D82"/>
    <w:rsid w:val="2D7669CC"/>
    <w:rsid w:val="32B35141"/>
    <w:rsid w:val="32DC0E21"/>
    <w:rsid w:val="332850F0"/>
    <w:rsid w:val="37661B63"/>
    <w:rsid w:val="392930DF"/>
    <w:rsid w:val="3B3B4C5D"/>
    <w:rsid w:val="3C2E2C51"/>
    <w:rsid w:val="4B186D46"/>
    <w:rsid w:val="50C470C8"/>
    <w:rsid w:val="65C31D0D"/>
    <w:rsid w:val="6D6808C9"/>
    <w:rsid w:val="6F3272DE"/>
    <w:rsid w:val="70746ACA"/>
    <w:rsid w:val="75D6338E"/>
    <w:rsid w:val="7C2E1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18</Pages>
  <Words>7785</Words>
  <Characters>8084</Characters>
  <Lines>0</Lines>
  <Paragraphs>0</Paragraphs>
  <TotalTime>2</TotalTime>
  <ScaleCrop>false</ScaleCrop>
  <LinksUpToDate>false</LinksUpToDate>
  <CharactersWithSpaces>9540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2019-06-19T04:49:00Z</dcterms:created>
  <dc:creator>钟</dc:creator>
  <cp:lastModifiedBy>旧时光·不见旧人</cp:lastModifiedBy>
  <dcterms:modified xsi:type="dcterms:W3CDTF">2022-09-06T08:47:52Z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B52A3C9306C948E48550BA1AC3364463</vt:lpwstr>
  </property>
</Properties>
</file>