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eastAsia="黑体"/>
          <w:sz w:val="44"/>
          <w:szCs w:val="44"/>
        </w:rPr>
      </w:pPr>
      <w:r>
        <w:rPr>
          <w:rFonts w:hint="eastAsia" w:ascii="黑体" w:hAnsi="黑体" w:eastAsia="黑体" w:cs="黑体"/>
          <w:sz w:val="32"/>
          <w:szCs w:val="32"/>
        </w:rPr>
        <w:t>附件1</w:t>
      </w:r>
    </w:p>
    <w:p>
      <w:pPr>
        <w:jc w:val="center"/>
        <w:rPr>
          <w:rFonts w:ascii="黑体" w:eastAsia="黑体"/>
          <w:sz w:val="44"/>
          <w:szCs w:val="44"/>
        </w:rPr>
      </w:pPr>
      <w:r>
        <w:rPr>
          <w:rFonts w:hint="eastAsia" w:ascii="黑体" w:eastAsia="黑体"/>
          <w:sz w:val="44"/>
          <w:szCs w:val="44"/>
        </w:rPr>
        <w:t>项目绩效自评报告表</w:t>
      </w:r>
    </w:p>
    <w:p>
      <w:pPr>
        <w:jc w:val="center"/>
        <w:rPr>
          <w:rFonts w:ascii="楷体" w:hAnsi="楷体" w:eastAsia="楷体" w:cs="楷体"/>
          <w:sz w:val="32"/>
          <w:szCs w:val="32"/>
        </w:rPr>
      </w:pPr>
      <w:r>
        <w:rPr>
          <w:rFonts w:hint="eastAsia" w:ascii="楷体" w:hAnsi="楷体" w:eastAsia="楷体" w:cs="楷体"/>
          <w:sz w:val="32"/>
          <w:szCs w:val="32"/>
        </w:rPr>
        <w:t>（实施单位用）</w:t>
      </w:r>
    </w:p>
    <w:p>
      <w:pPr>
        <w:spacing w:line="360" w:lineRule="auto"/>
        <w:ind w:right="-932" w:rightChars="-444"/>
        <w:rPr>
          <w:rFonts w:ascii="楷体" w:hAnsi="楷体" w:eastAsia="楷体" w:cs="楷体"/>
          <w:sz w:val="32"/>
          <w:szCs w:val="32"/>
        </w:rPr>
      </w:pPr>
      <w:r>
        <w:rPr>
          <w:rFonts w:hint="eastAsia" w:ascii="楷体" w:hAnsi="楷体" w:eastAsia="楷体" w:cs="楷体"/>
          <w:sz w:val="32"/>
          <w:szCs w:val="32"/>
        </w:rPr>
        <w:t>填报单位：</w:t>
      </w:r>
      <w:r>
        <w:rPr>
          <w:rFonts w:hint="eastAsia" w:ascii="楷体" w:hAnsi="楷体" w:eastAsia="楷体" w:cs="楷体"/>
          <w:sz w:val="32"/>
          <w:szCs w:val="32"/>
          <w:lang w:eastAsia="zh-CN"/>
        </w:rPr>
        <w:t>邵阳市供销合作总社</w:t>
      </w:r>
      <w:r>
        <w:rPr>
          <w:rFonts w:hint="eastAsia" w:ascii="楷体" w:hAnsi="楷体" w:eastAsia="楷体" w:cs="楷体"/>
          <w:sz w:val="32"/>
          <w:szCs w:val="32"/>
          <w:lang w:val="en-US" w:eastAsia="zh-CN"/>
        </w:rPr>
        <w:t xml:space="preserve"> </w:t>
      </w:r>
      <w:r>
        <w:rPr>
          <w:rFonts w:hint="eastAsia" w:ascii="楷体" w:hAnsi="楷体" w:eastAsia="楷体" w:cs="楷体"/>
          <w:sz w:val="32"/>
          <w:szCs w:val="32"/>
        </w:rPr>
        <w:t>填报日期：</w:t>
      </w:r>
      <w:r>
        <w:rPr>
          <w:rFonts w:hint="eastAsia" w:ascii="楷体" w:hAnsi="楷体" w:eastAsia="楷体" w:cs="楷体"/>
          <w:sz w:val="32"/>
          <w:szCs w:val="32"/>
          <w:lang w:val="en-US" w:eastAsia="zh-CN"/>
        </w:rPr>
        <w:t>2021</w:t>
      </w:r>
      <w:r>
        <w:rPr>
          <w:rFonts w:hint="eastAsia" w:ascii="楷体" w:hAnsi="楷体" w:eastAsia="楷体" w:cs="楷体"/>
          <w:sz w:val="32"/>
          <w:szCs w:val="32"/>
        </w:rPr>
        <w:t>年</w:t>
      </w:r>
      <w:r>
        <w:rPr>
          <w:rFonts w:hint="eastAsia" w:ascii="楷体" w:hAnsi="楷体" w:eastAsia="楷体" w:cs="楷体"/>
          <w:sz w:val="32"/>
          <w:szCs w:val="32"/>
          <w:lang w:val="en-US" w:eastAsia="zh-CN"/>
        </w:rPr>
        <w:t>6</w:t>
      </w:r>
      <w:r>
        <w:rPr>
          <w:rFonts w:hint="eastAsia" w:ascii="楷体" w:hAnsi="楷体" w:eastAsia="楷体" w:cs="楷体"/>
          <w:sz w:val="32"/>
          <w:szCs w:val="32"/>
        </w:rPr>
        <w:t>月</w:t>
      </w:r>
      <w:r>
        <w:rPr>
          <w:rFonts w:hint="eastAsia" w:ascii="楷体" w:hAnsi="楷体" w:eastAsia="楷体" w:cs="楷体"/>
          <w:sz w:val="32"/>
          <w:szCs w:val="32"/>
          <w:lang w:val="en-US" w:eastAsia="zh-CN"/>
        </w:rPr>
        <w:t>21</w:t>
      </w:r>
      <w:r>
        <w:rPr>
          <w:rFonts w:hint="eastAsia" w:ascii="楷体" w:hAnsi="楷体" w:eastAsia="楷体" w:cs="楷体"/>
          <w:sz w:val="32"/>
          <w:szCs w:val="32"/>
        </w:rPr>
        <w:t xml:space="preserve">日   </w:t>
      </w:r>
    </w:p>
    <w:tbl>
      <w:tblPr>
        <w:tblStyle w:val="3"/>
        <w:tblW w:w="909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050"/>
        <w:gridCol w:w="1796"/>
        <w:gridCol w:w="600"/>
        <w:gridCol w:w="1305"/>
        <w:gridCol w:w="765"/>
        <w:gridCol w:w="660"/>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exact"/>
        </w:trPr>
        <w:tc>
          <w:tcPr>
            <w:tcW w:w="540" w:type="dxa"/>
            <w:vMerge w:val="restart"/>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 xml:space="preserve"> </w:t>
            </w:r>
          </w:p>
          <w:p>
            <w:pPr>
              <w:spacing w:line="560" w:lineRule="exact"/>
              <w:jc w:val="center"/>
              <w:rPr>
                <w:rFonts w:ascii="楷体" w:hAnsi="楷体" w:eastAsia="楷体" w:cs="楷体"/>
                <w:sz w:val="28"/>
                <w:szCs w:val="28"/>
              </w:rPr>
            </w:pPr>
            <w:r>
              <w:rPr>
                <w:rFonts w:hint="eastAsia" w:ascii="楷体" w:hAnsi="楷体" w:eastAsia="楷体" w:cs="楷体"/>
                <w:sz w:val="28"/>
                <w:szCs w:val="28"/>
              </w:rPr>
              <w:t xml:space="preserve"> </w:t>
            </w:r>
          </w:p>
          <w:p>
            <w:pPr>
              <w:spacing w:line="560" w:lineRule="exact"/>
              <w:jc w:val="center"/>
              <w:rPr>
                <w:rFonts w:ascii="楷体" w:hAnsi="楷体" w:eastAsia="楷体" w:cs="楷体"/>
                <w:sz w:val="28"/>
                <w:szCs w:val="28"/>
              </w:rPr>
            </w:pPr>
            <w:r>
              <w:rPr>
                <w:rFonts w:hint="eastAsia" w:ascii="楷体" w:hAnsi="楷体" w:eastAsia="楷体" w:cs="楷体"/>
                <w:sz w:val="28"/>
                <w:szCs w:val="28"/>
              </w:rPr>
              <w:t xml:space="preserve"> 基本情况</w:t>
            </w: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项目名称</w:t>
            </w:r>
          </w:p>
        </w:tc>
        <w:tc>
          <w:tcPr>
            <w:tcW w:w="6506" w:type="dxa"/>
            <w:gridSpan w:val="6"/>
          </w:tcPr>
          <w:p>
            <w:pPr>
              <w:spacing w:line="540" w:lineRule="exact"/>
              <w:jc w:val="left"/>
              <w:rPr>
                <w:rFonts w:ascii="楷体" w:hAnsi="楷体" w:eastAsia="楷体" w:cs="楷体"/>
                <w:sz w:val="28"/>
                <w:szCs w:val="28"/>
              </w:rPr>
            </w:pPr>
            <w:r>
              <w:rPr>
                <w:rFonts w:hint="eastAsia" w:ascii="楷体" w:hAnsi="楷体" w:eastAsia="楷体" w:cs="楷体"/>
                <w:sz w:val="28"/>
                <w:szCs w:val="28"/>
              </w:rPr>
              <w:t>供销体制综合改革试点工作经费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16"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both"/>
              <w:rPr>
                <w:rFonts w:ascii="楷体" w:hAnsi="楷体" w:eastAsia="楷体" w:cs="楷体"/>
                <w:sz w:val="28"/>
                <w:szCs w:val="28"/>
              </w:rPr>
            </w:pPr>
            <w:r>
              <w:rPr>
                <w:rFonts w:hint="eastAsia" w:ascii="楷体" w:hAnsi="楷体" w:eastAsia="楷体" w:cs="楷体"/>
                <w:sz w:val="28"/>
                <w:szCs w:val="28"/>
              </w:rPr>
              <w:t>项目主要内容</w:t>
            </w:r>
          </w:p>
        </w:tc>
        <w:tc>
          <w:tcPr>
            <w:tcW w:w="6506" w:type="dxa"/>
            <w:gridSpan w:val="6"/>
          </w:tcPr>
          <w:p>
            <w:pPr>
              <w:spacing w:line="540" w:lineRule="exact"/>
              <w:ind w:firstLine="140" w:firstLineChars="50"/>
              <w:jc w:val="left"/>
              <w:rPr>
                <w:rFonts w:ascii="楷体" w:hAnsi="楷体" w:eastAsia="楷体" w:cs="楷体"/>
                <w:sz w:val="28"/>
                <w:szCs w:val="28"/>
              </w:rPr>
            </w:pPr>
            <w:r>
              <w:rPr>
                <w:rFonts w:hint="eastAsia" w:ascii="楷体" w:hAnsi="楷体" w:eastAsia="楷体" w:cs="楷体"/>
                <w:sz w:val="28"/>
                <w:szCs w:val="28"/>
                <w:lang w:eastAsia="zh-CN"/>
              </w:rPr>
              <w:t>完善全市供销合作社系统经营服务体系，形成上下贯通、整体协调运转的运行机制；加快建设面向农民、综合服务、立足市场、兼具公益的供销合作社基层组织。通过综合改革，全力推动供销合作社由流通服务向全程农业现代化服务延伸、向全方位城乡社区服务拓展，成为服务农民生产生活的生力军和综合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3"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项目单位</w:t>
            </w:r>
          </w:p>
        </w:tc>
        <w:tc>
          <w:tcPr>
            <w:tcW w:w="2396" w:type="dxa"/>
            <w:gridSpan w:val="2"/>
          </w:tcPr>
          <w:p>
            <w:pPr>
              <w:spacing w:line="540" w:lineRule="exact"/>
              <w:jc w:val="left"/>
              <w:rPr>
                <w:rFonts w:ascii="楷体" w:hAnsi="楷体" w:eastAsia="楷体" w:cs="楷体"/>
                <w:sz w:val="28"/>
                <w:szCs w:val="28"/>
              </w:rPr>
            </w:pPr>
            <w:r>
              <w:rPr>
                <w:rFonts w:hint="eastAsia" w:ascii="楷体" w:hAnsi="楷体" w:eastAsia="楷体" w:cs="楷体"/>
                <w:sz w:val="28"/>
                <w:szCs w:val="28"/>
              </w:rPr>
              <w:t>邵阳市供销</w:t>
            </w:r>
            <w:r>
              <w:rPr>
                <w:rFonts w:hint="eastAsia" w:ascii="楷体" w:hAnsi="楷体" w:eastAsia="楷体" w:cs="楷体"/>
                <w:sz w:val="28"/>
                <w:szCs w:val="28"/>
                <w:lang w:eastAsia="zh-CN"/>
              </w:rPr>
              <w:t>合作总社</w:t>
            </w:r>
            <w:r>
              <w:rPr>
                <w:rFonts w:hint="eastAsia" w:ascii="楷体" w:hAnsi="楷体" w:eastAsia="楷体" w:cs="楷体"/>
                <w:sz w:val="28"/>
                <w:szCs w:val="28"/>
              </w:rPr>
              <w:t>　　　　　　　　　　　　　</w:t>
            </w:r>
          </w:p>
        </w:tc>
        <w:tc>
          <w:tcPr>
            <w:tcW w:w="2070"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 xml:space="preserve"> 主管部门</w:t>
            </w:r>
          </w:p>
        </w:tc>
        <w:tc>
          <w:tcPr>
            <w:tcW w:w="2040" w:type="dxa"/>
            <w:gridSpan w:val="2"/>
          </w:tcPr>
          <w:p>
            <w:pPr>
              <w:spacing w:line="540" w:lineRule="exact"/>
              <w:jc w:val="left"/>
              <w:rPr>
                <w:rFonts w:ascii="楷体" w:hAnsi="楷体" w:eastAsia="楷体" w:cs="楷体"/>
                <w:sz w:val="28"/>
                <w:szCs w:val="28"/>
              </w:rPr>
            </w:pPr>
            <w:r>
              <w:rPr>
                <w:rFonts w:hint="eastAsia" w:ascii="楷体" w:hAnsi="楷体" w:eastAsia="楷体" w:cs="楷体"/>
                <w:sz w:val="28"/>
                <w:szCs w:val="28"/>
              </w:rPr>
              <w:t>邵阳市供销</w:t>
            </w:r>
            <w:r>
              <w:rPr>
                <w:rFonts w:hint="eastAsia" w:ascii="楷体" w:hAnsi="楷体" w:eastAsia="楷体" w:cs="楷体"/>
                <w:sz w:val="28"/>
                <w:szCs w:val="28"/>
                <w:lang w:eastAsia="zh-CN"/>
              </w:rPr>
              <w:t>合作总社</w:t>
            </w:r>
            <w:r>
              <w:rPr>
                <w:rFonts w:hint="eastAsia" w:ascii="楷体" w:hAnsi="楷体" w:eastAsia="楷体" w:cs="楷体"/>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540" w:lineRule="exact"/>
              <w:jc w:val="center"/>
              <w:rPr>
                <w:rFonts w:ascii="楷体" w:hAnsi="楷体" w:eastAsia="楷体" w:cs="楷体"/>
                <w:sz w:val="28"/>
                <w:szCs w:val="28"/>
              </w:rPr>
            </w:pPr>
            <w:r>
              <w:rPr>
                <w:rFonts w:hint="eastAsia" w:ascii="楷体" w:hAnsi="楷体" w:eastAsia="楷体" w:cs="楷体"/>
                <w:sz w:val="28"/>
                <w:szCs w:val="28"/>
              </w:rPr>
              <w:t>单位负责人</w:t>
            </w:r>
          </w:p>
        </w:tc>
        <w:tc>
          <w:tcPr>
            <w:tcW w:w="2396" w:type="dxa"/>
            <w:gridSpan w:val="2"/>
            <w:vAlign w:val="top"/>
          </w:tcPr>
          <w:p>
            <w:pPr>
              <w:spacing w:line="540" w:lineRule="exact"/>
              <w:jc w:val="left"/>
              <w:rPr>
                <w:rFonts w:ascii="楷体" w:hAnsi="楷体" w:eastAsia="楷体" w:cs="楷体"/>
                <w:kern w:val="2"/>
                <w:sz w:val="28"/>
                <w:szCs w:val="28"/>
                <w:lang w:val="en-US" w:eastAsia="zh-CN" w:bidi="ar-SA"/>
              </w:rPr>
            </w:pPr>
            <w:r>
              <w:rPr>
                <w:rFonts w:hint="eastAsia" w:ascii="楷体" w:hAnsi="楷体" w:eastAsia="楷体" w:cs="楷体"/>
                <w:sz w:val="28"/>
                <w:szCs w:val="28"/>
                <w:lang w:eastAsia="zh-CN"/>
              </w:rPr>
              <w:t>汪庆春</w:t>
            </w:r>
          </w:p>
        </w:tc>
        <w:tc>
          <w:tcPr>
            <w:tcW w:w="2070"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项目负责人</w:t>
            </w:r>
          </w:p>
        </w:tc>
        <w:tc>
          <w:tcPr>
            <w:tcW w:w="2040" w:type="dxa"/>
            <w:gridSpan w:val="2"/>
            <w:vAlign w:val="top"/>
          </w:tcPr>
          <w:p>
            <w:pPr>
              <w:spacing w:line="540" w:lineRule="exact"/>
              <w:jc w:val="left"/>
              <w:rPr>
                <w:rFonts w:ascii="楷体" w:hAnsi="楷体" w:eastAsia="楷体" w:cs="楷体"/>
                <w:kern w:val="2"/>
                <w:sz w:val="28"/>
                <w:szCs w:val="28"/>
                <w:lang w:val="en-US" w:eastAsia="zh-CN" w:bidi="ar-SA"/>
              </w:rPr>
            </w:pPr>
            <w:r>
              <w:rPr>
                <w:rFonts w:hint="eastAsia" w:ascii="楷体" w:hAnsi="楷体" w:eastAsia="楷体" w:cs="楷体"/>
                <w:sz w:val="28"/>
                <w:szCs w:val="28"/>
                <w:lang w:eastAsia="zh-CN"/>
              </w:rPr>
              <w:t>汪庆春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项目属性</w:t>
            </w:r>
          </w:p>
        </w:tc>
        <w:tc>
          <w:tcPr>
            <w:tcW w:w="6506" w:type="dxa"/>
            <w:gridSpan w:val="6"/>
          </w:tcPr>
          <w:p>
            <w:pPr>
              <w:spacing w:line="540" w:lineRule="exact"/>
              <w:jc w:val="left"/>
              <w:rPr>
                <w:rFonts w:ascii="楷体" w:hAnsi="楷体" w:eastAsia="楷体" w:cs="楷体"/>
                <w:sz w:val="28"/>
                <w:szCs w:val="28"/>
              </w:rPr>
            </w:pPr>
            <w:r>
              <w:rPr>
                <w:rFonts w:hint="eastAsia" w:ascii="楷体" w:hAnsi="楷体" w:eastAsia="楷体" w:cs="楷体"/>
                <w:sz w:val="28"/>
                <w:szCs w:val="28"/>
              </w:rPr>
              <w:t>　</w:t>
            </w:r>
            <w:r>
              <w:rPr>
                <w:rFonts w:hint="eastAsia" w:ascii="楷体" w:hAnsi="楷体" w:eastAsia="楷体" w:cs="楷体"/>
                <w:sz w:val="28"/>
                <w:szCs w:val="28"/>
              </w:rPr>
              <w:sym w:font="Wingdings 2" w:char="0052"/>
            </w:r>
            <w:r>
              <w:rPr>
                <w:rFonts w:hint="eastAsia" w:ascii="楷体" w:hAnsi="楷体" w:eastAsia="楷体" w:cs="楷体"/>
                <w:sz w:val="28"/>
                <w:szCs w:val="28"/>
              </w:rPr>
              <w:t>经常性　　□一次性　　□新增　　□延续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2"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资金总额    及构成</w:t>
            </w:r>
          </w:p>
        </w:tc>
        <w:tc>
          <w:tcPr>
            <w:tcW w:w="6506" w:type="dxa"/>
            <w:gridSpan w:val="6"/>
          </w:tcPr>
          <w:p>
            <w:pPr>
              <w:spacing w:line="0" w:lineRule="atLeast"/>
              <w:jc w:val="left"/>
              <w:rPr>
                <w:rFonts w:hint="eastAsia" w:ascii="楷体" w:hAnsi="楷体" w:eastAsia="楷体" w:cs="楷体"/>
                <w:sz w:val="28"/>
                <w:szCs w:val="28"/>
                <w:lang w:eastAsia="zh-CN"/>
              </w:rPr>
            </w:pPr>
            <w:r>
              <w:rPr>
                <w:rFonts w:hint="eastAsia" w:ascii="楷体" w:hAnsi="楷体" w:eastAsia="楷体" w:cs="楷体"/>
                <w:sz w:val="28"/>
                <w:szCs w:val="28"/>
              </w:rPr>
              <w:t>总额：　　万元，其中：省级财政　　万元；市级财政</w:t>
            </w:r>
            <w:r>
              <w:rPr>
                <w:rFonts w:hint="eastAsia" w:ascii="楷体" w:hAnsi="楷体" w:eastAsia="楷体" w:cs="楷体"/>
                <w:sz w:val="28"/>
                <w:szCs w:val="28"/>
                <w:lang w:val="en-US" w:eastAsia="zh-CN"/>
              </w:rPr>
              <w:t>100</w:t>
            </w:r>
            <w:r>
              <w:rPr>
                <w:rFonts w:hint="eastAsia" w:ascii="楷体" w:hAnsi="楷体" w:eastAsia="楷体" w:cs="楷体"/>
                <w:sz w:val="28"/>
                <w:szCs w:val="28"/>
              </w:rPr>
              <w:t>　 万元；其他　　　万元</w:t>
            </w:r>
            <w:r>
              <w:rPr>
                <w:rFonts w:hint="eastAsia" w:ascii="楷体" w:hAnsi="楷体" w:eastAsia="楷体" w:cs="楷体"/>
                <w:sz w:val="28"/>
                <w:szCs w:val="28"/>
                <w:lang w:eastAsia="zh-CN"/>
              </w:rPr>
              <w:t>。</w:t>
            </w:r>
          </w:p>
          <w:p>
            <w:pPr>
              <w:spacing w:line="560" w:lineRule="exact"/>
              <w:jc w:val="left"/>
              <w:rPr>
                <w:rFonts w:ascii="楷体" w:hAnsi="楷体" w:eastAsia="楷体" w:cs="楷体"/>
                <w:sz w:val="28"/>
                <w:szCs w:val="28"/>
              </w:rPr>
            </w:pPr>
            <w:r>
              <w:rPr>
                <w:rFonts w:hint="eastAsia" w:ascii="楷体" w:hAnsi="楷体" w:eastAsia="楷体" w:cs="楷体"/>
                <w:sz w:val="28"/>
                <w:szCs w:val="2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项目起止时间</w:t>
            </w:r>
          </w:p>
        </w:tc>
        <w:tc>
          <w:tcPr>
            <w:tcW w:w="6506" w:type="dxa"/>
            <w:gridSpan w:val="6"/>
          </w:tcPr>
          <w:p>
            <w:pPr>
              <w:spacing w:line="560" w:lineRule="exact"/>
              <w:ind w:firstLine="280" w:firstLineChars="100"/>
              <w:jc w:val="left"/>
              <w:rPr>
                <w:rFonts w:ascii="楷体" w:hAnsi="楷体" w:eastAsia="楷体" w:cs="楷体"/>
                <w:sz w:val="28"/>
                <w:szCs w:val="28"/>
              </w:rPr>
            </w:pPr>
            <w:r>
              <w:rPr>
                <w:rFonts w:hint="eastAsia" w:ascii="楷体" w:hAnsi="楷体" w:eastAsia="楷体" w:cs="楷体"/>
                <w:sz w:val="28"/>
                <w:szCs w:val="28"/>
                <w:lang w:val="en-US" w:eastAsia="zh-CN"/>
              </w:rPr>
              <w:t>2020</w:t>
            </w:r>
            <w:r>
              <w:rPr>
                <w:rFonts w:hint="eastAsia" w:ascii="楷体" w:hAnsi="楷体" w:eastAsia="楷体" w:cs="楷体"/>
                <w:sz w:val="28"/>
                <w:szCs w:val="28"/>
              </w:rPr>
              <w:t>　年　</w:t>
            </w:r>
            <w:r>
              <w:rPr>
                <w:rFonts w:hint="eastAsia" w:ascii="楷体" w:hAnsi="楷体" w:eastAsia="楷体" w:cs="楷体"/>
                <w:sz w:val="28"/>
                <w:szCs w:val="28"/>
                <w:lang w:val="en-US" w:eastAsia="zh-CN"/>
              </w:rPr>
              <w:t>1</w:t>
            </w:r>
            <w:r>
              <w:rPr>
                <w:rFonts w:hint="eastAsia" w:ascii="楷体" w:hAnsi="楷体" w:eastAsia="楷体" w:cs="楷体"/>
                <w:sz w:val="28"/>
                <w:szCs w:val="28"/>
              </w:rPr>
              <w:t>　月起至　</w:t>
            </w:r>
            <w:r>
              <w:rPr>
                <w:rFonts w:hint="eastAsia" w:ascii="楷体" w:hAnsi="楷体" w:eastAsia="楷体" w:cs="楷体"/>
                <w:sz w:val="28"/>
                <w:szCs w:val="28"/>
                <w:lang w:val="en-US" w:eastAsia="zh-CN"/>
              </w:rPr>
              <w:t>2020</w:t>
            </w:r>
            <w:r>
              <w:rPr>
                <w:rFonts w:hint="eastAsia" w:ascii="楷体" w:hAnsi="楷体" w:eastAsia="楷体" w:cs="楷体"/>
                <w:sz w:val="28"/>
                <w:szCs w:val="28"/>
              </w:rPr>
              <w:t>　年　</w:t>
            </w:r>
            <w:r>
              <w:rPr>
                <w:rFonts w:hint="eastAsia" w:ascii="楷体" w:hAnsi="楷体" w:eastAsia="楷体" w:cs="楷体"/>
                <w:sz w:val="28"/>
                <w:szCs w:val="28"/>
                <w:lang w:val="en-US" w:eastAsia="zh-CN"/>
              </w:rPr>
              <w:t>12</w:t>
            </w:r>
            <w:r>
              <w:rPr>
                <w:rFonts w:hint="eastAsia" w:ascii="楷体" w:hAnsi="楷体" w:eastAsia="楷体" w:cs="楷体"/>
                <w:sz w:val="28"/>
                <w:szCs w:val="28"/>
              </w:rPr>
              <w:t>　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1" w:hRule="exact"/>
        </w:trPr>
        <w:tc>
          <w:tcPr>
            <w:tcW w:w="540" w:type="dxa"/>
            <w:vMerge w:val="restart"/>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实施情况</w:t>
            </w: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项目立项依据</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color w:val="000000"/>
                <w:kern w:val="0"/>
                <w:sz w:val="28"/>
                <w:szCs w:val="28"/>
                <w:lang w:val="en-US" w:eastAsia="zh-CN" w:bidi="ar-SA"/>
              </w:rPr>
              <w:t>《中共中央国务院关于深化供销合作社综合改革的决定》（中发〔2015〕11号）,《中共湖南省委湖南省人民政府关于深化供销合作社综合改革的实施意见》（湘发〔2016〕3号）,《中共邵阳市委邵阳市人民政府关于深化供销合作社综合改革的实施意见》（邵市发〔2016〕17号）,《湖南省深化供销合作社综合改革实施方案（试行）》（湘供改组办〔2016〕1号）文件,邵阳市政府2017年第8次常务会议,邵阳市十六届人大常委会第11次主任会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9"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可行性研究报告结论</w:t>
            </w:r>
          </w:p>
        </w:tc>
        <w:tc>
          <w:tcPr>
            <w:tcW w:w="6506" w:type="dxa"/>
            <w:gridSpan w:val="6"/>
          </w:tcPr>
          <w:p>
            <w:pPr>
              <w:spacing w:line="560" w:lineRule="exact"/>
              <w:jc w:val="left"/>
              <w:rPr>
                <w:rFonts w:hint="eastAsia" w:ascii="楷体" w:hAnsi="楷体" w:eastAsia="楷体" w:cs="楷体"/>
                <w:sz w:val="28"/>
                <w:szCs w:val="28"/>
                <w:lang w:eastAsia="zh-CN"/>
              </w:rPr>
            </w:pPr>
            <w:r>
              <w:rPr>
                <w:rFonts w:hint="eastAsia" w:ascii="楷体" w:hAnsi="楷体" w:eastAsia="楷体" w:cs="楷体"/>
                <w:sz w:val="28"/>
                <w:szCs w:val="28"/>
                <w:lang w:eastAsia="zh-CN"/>
              </w:rPr>
              <w:t>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5"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专家评审论证 结论</w:t>
            </w:r>
          </w:p>
        </w:tc>
        <w:tc>
          <w:tcPr>
            <w:tcW w:w="6506" w:type="dxa"/>
            <w:gridSpan w:val="6"/>
          </w:tcPr>
          <w:p>
            <w:pPr>
              <w:spacing w:line="560" w:lineRule="exact"/>
              <w:jc w:val="left"/>
              <w:rPr>
                <w:rFonts w:hint="eastAsia" w:ascii="楷体" w:hAnsi="楷体" w:eastAsia="楷体" w:cs="楷体"/>
                <w:sz w:val="28"/>
                <w:szCs w:val="28"/>
                <w:lang w:eastAsia="zh-CN"/>
              </w:rPr>
            </w:pPr>
            <w:r>
              <w:rPr>
                <w:rFonts w:hint="eastAsia" w:ascii="楷体" w:hAnsi="楷体" w:eastAsia="楷体" w:cs="楷体"/>
                <w:sz w:val="28"/>
                <w:szCs w:val="28"/>
                <w:lang w:eastAsia="zh-CN"/>
              </w:rPr>
              <w:t>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是否实施政府采购及金额</w:t>
            </w: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tc>
        <w:tc>
          <w:tcPr>
            <w:tcW w:w="6506" w:type="dxa"/>
            <w:gridSpan w:val="6"/>
          </w:tcPr>
          <w:p>
            <w:pPr>
              <w:spacing w:line="360" w:lineRule="exact"/>
              <w:rPr>
                <w:rFonts w:ascii="楷体" w:hAnsi="楷体" w:eastAsia="楷体" w:cs="楷体"/>
                <w:sz w:val="28"/>
                <w:szCs w:val="28"/>
              </w:rPr>
            </w:pPr>
            <w:r>
              <w:rPr>
                <w:rFonts w:hint="eastAsia" w:ascii="楷体" w:hAnsi="楷体" w:eastAsia="楷体" w:cs="楷体"/>
                <w:sz w:val="28"/>
                <w:szCs w:val="28"/>
              </w:rPr>
              <w:t xml:space="preserve">□是　                    </w:t>
            </w:r>
            <w:r>
              <w:rPr>
                <w:rFonts w:hint="eastAsia" w:ascii="楷体" w:hAnsi="楷体" w:eastAsia="楷体" w:cs="楷体"/>
                <w:sz w:val="28"/>
                <w:szCs w:val="28"/>
              </w:rPr>
              <w:sym w:font="Wingdings 2" w:char="0052"/>
            </w:r>
            <w:r>
              <w:rPr>
                <w:rFonts w:hint="eastAsia" w:ascii="楷体" w:hAnsi="楷体" w:eastAsia="楷体" w:cs="楷体"/>
                <w:sz w:val="28"/>
                <w:szCs w:val="28"/>
              </w:rPr>
              <w:t xml:space="preserve">否   </w:t>
            </w:r>
            <w:r>
              <w:rPr>
                <w:rFonts w:hint="eastAsia" w:ascii="楷体" w:hAnsi="楷体" w:eastAsia="楷体" w:cs="楷体"/>
                <w:sz w:val="28"/>
                <w:szCs w:val="28"/>
              </w:rPr>
              <w:br w:type="textWrapping"/>
            </w:r>
            <w:r>
              <w:rPr>
                <w:rFonts w:hint="eastAsia" w:ascii="楷体" w:hAnsi="楷体" w:eastAsia="楷体" w:cs="楷体"/>
                <w:sz w:val="28"/>
                <w:szCs w:val="28"/>
              </w:rPr>
              <w:t>应采购金额   万元        实际采购金额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是否实行    招投标</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t xml:space="preserve">□是　　                  </w:t>
            </w:r>
            <w:r>
              <w:rPr>
                <w:rFonts w:hint="eastAsia" w:ascii="楷体" w:hAnsi="楷体" w:eastAsia="楷体" w:cs="楷体"/>
                <w:sz w:val="28"/>
                <w:szCs w:val="28"/>
              </w:rPr>
              <w:sym w:font="Wingdings 2" w:char="0052"/>
            </w:r>
            <w:r>
              <w:rPr>
                <w:rFonts w:hint="eastAsia" w:ascii="楷体" w:hAnsi="楷体" w:eastAsia="楷体" w:cs="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6"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是否实行国库     集中支付</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sym w:font="Wingdings 2" w:char="0052"/>
            </w:r>
            <w:r>
              <w:rPr>
                <w:rFonts w:hint="eastAsia" w:ascii="楷体" w:hAnsi="楷体" w:eastAsia="楷体" w:cs="楷体"/>
                <w:sz w:val="28"/>
                <w:szCs w:val="28"/>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2"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400" w:lineRule="exact"/>
              <w:jc w:val="center"/>
              <w:rPr>
                <w:rFonts w:ascii="楷体" w:hAnsi="楷体" w:eastAsia="楷体" w:cs="楷体"/>
                <w:sz w:val="28"/>
                <w:szCs w:val="28"/>
              </w:rPr>
            </w:pPr>
            <w:r>
              <w:rPr>
                <w:rFonts w:hint="eastAsia" w:ascii="楷体" w:hAnsi="楷体" w:eastAsia="楷体" w:cs="楷体"/>
                <w:sz w:val="28"/>
                <w:szCs w:val="28"/>
              </w:rPr>
              <w:t>是否实行工程代理和投资评审制</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t xml:space="preserve">□是　　                  </w:t>
            </w:r>
            <w:r>
              <w:rPr>
                <w:rFonts w:hint="eastAsia" w:ascii="楷体" w:hAnsi="楷体" w:eastAsia="楷体" w:cs="楷体"/>
                <w:sz w:val="28"/>
                <w:szCs w:val="28"/>
              </w:rPr>
              <w:sym w:font="Wingdings 2" w:char="0052"/>
            </w:r>
            <w:r>
              <w:rPr>
                <w:rFonts w:hint="eastAsia" w:ascii="楷体" w:hAnsi="楷体" w:eastAsia="楷体" w:cs="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是否实行合同管理制</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sym w:font="Wingdings 2" w:char="00A3"/>
            </w:r>
            <w:r>
              <w:rPr>
                <w:rFonts w:hint="eastAsia" w:ascii="楷体" w:hAnsi="楷体" w:eastAsia="楷体" w:cs="楷体"/>
                <w:sz w:val="28"/>
                <w:szCs w:val="28"/>
              </w:rPr>
              <w:t xml:space="preserve">是　　                 </w:t>
            </w:r>
            <w:r>
              <w:rPr>
                <w:rFonts w:hint="eastAsia" w:ascii="楷体" w:hAnsi="楷体" w:eastAsia="楷体" w:cs="楷体"/>
                <w:sz w:val="28"/>
                <w:szCs w:val="28"/>
              </w:rPr>
              <w:sym w:font="Wingdings 2" w:char="0052"/>
            </w:r>
            <w:r>
              <w:rPr>
                <w:rFonts w:hint="eastAsia" w:ascii="楷体" w:hAnsi="楷体" w:eastAsia="楷体" w:cs="楷体"/>
                <w:sz w:val="28"/>
                <w:szCs w:val="28"/>
              </w:rPr>
              <w:t>否</w:t>
            </w:r>
          </w:p>
          <w:p>
            <w:pPr>
              <w:spacing w:line="560" w:lineRule="exact"/>
              <w:jc w:val="left"/>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5"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是否实行财政双控账户管理</w:t>
            </w:r>
          </w:p>
          <w:p>
            <w:pPr>
              <w:spacing w:line="360" w:lineRule="exact"/>
              <w:jc w:val="center"/>
              <w:rPr>
                <w:rFonts w:ascii="楷体" w:hAnsi="楷体" w:eastAsia="楷体" w:cs="楷体"/>
                <w:sz w:val="28"/>
                <w:szCs w:val="28"/>
              </w:rPr>
            </w:pPr>
            <w:r>
              <w:rPr>
                <w:rFonts w:hint="eastAsia" w:ascii="楷体" w:hAnsi="楷体" w:eastAsia="楷体" w:cs="楷体"/>
                <w:sz w:val="28"/>
                <w:szCs w:val="28"/>
              </w:rPr>
              <w:t>管理</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sym w:font="Wingdings 2" w:char="0052"/>
            </w:r>
            <w:r>
              <w:rPr>
                <w:rFonts w:hint="eastAsia" w:ascii="楷体" w:hAnsi="楷体" w:eastAsia="楷体" w:cs="楷体"/>
                <w:sz w:val="28"/>
                <w:szCs w:val="28"/>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是否实行财政专户管理</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sym w:font="Wingdings 2" w:char="0052"/>
            </w:r>
            <w:r>
              <w:rPr>
                <w:rFonts w:hint="eastAsia" w:ascii="楷体" w:hAnsi="楷体" w:eastAsia="楷体" w:cs="楷体"/>
                <w:sz w:val="28"/>
                <w:szCs w:val="28"/>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7" w:hRule="exact"/>
        </w:trPr>
        <w:tc>
          <w:tcPr>
            <w:tcW w:w="540" w:type="dxa"/>
            <w:vMerge w:val="restart"/>
            <w:vAlign w:val="center"/>
          </w:tcPr>
          <w:p>
            <w:pPr>
              <w:spacing w:line="440" w:lineRule="exact"/>
              <w:jc w:val="center"/>
              <w:rPr>
                <w:rFonts w:ascii="楷体" w:hAnsi="楷体" w:eastAsia="楷体" w:cs="楷体"/>
                <w:sz w:val="28"/>
                <w:szCs w:val="28"/>
              </w:rPr>
            </w:pPr>
            <w:r>
              <w:rPr>
                <w:rFonts w:hint="eastAsia" w:ascii="楷体" w:hAnsi="楷体" w:eastAsia="楷体" w:cs="楷体"/>
                <w:sz w:val="28"/>
                <w:szCs w:val="28"/>
              </w:rPr>
              <w:t>管理情况</w:t>
            </w: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管理制度    和办法名称</w:t>
            </w:r>
          </w:p>
        </w:tc>
        <w:tc>
          <w:tcPr>
            <w:tcW w:w="6506" w:type="dxa"/>
            <w:gridSpan w:val="6"/>
          </w:tcPr>
          <w:p>
            <w:pPr>
              <w:spacing w:line="360" w:lineRule="exact"/>
              <w:jc w:val="left"/>
              <w:rPr>
                <w:rFonts w:ascii="楷体" w:hAnsi="楷体" w:eastAsia="楷体" w:cs="楷体"/>
                <w:sz w:val="28"/>
                <w:szCs w:val="28"/>
              </w:rPr>
            </w:pPr>
            <w:r>
              <w:rPr>
                <w:rFonts w:hint="eastAsia" w:ascii="楷体" w:hAnsi="楷体" w:eastAsia="楷体" w:cs="楷体"/>
                <w:sz w:val="28"/>
                <w:szCs w:val="28"/>
                <w:lang w:eastAsia="zh-CN"/>
              </w:rPr>
              <w:t>邵阳市供销合作总社财务管理制度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95"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560" w:lineRule="exact"/>
              <w:jc w:val="center"/>
              <w:rPr>
                <w:rFonts w:ascii="楷体" w:hAnsi="楷体" w:eastAsia="楷体" w:cs="楷体"/>
                <w:color w:val="auto"/>
                <w:sz w:val="28"/>
                <w:szCs w:val="28"/>
              </w:rPr>
            </w:pPr>
            <w:r>
              <w:rPr>
                <w:rFonts w:hint="eastAsia" w:ascii="楷体" w:hAnsi="楷体" w:eastAsia="楷体" w:cs="楷体"/>
                <w:color w:val="auto"/>
                <w:sz w:val="28"/>
                <w:szCs w:val="28"/>
              </w:rPr>
              <w:t>具体工作措施</w:t>
            </w:r>
          </w:p>
        </w:tc>
        <w:tc>
          <w:tcPr>
            <w:tcW w:w="6506" w:type="dxa"/>
            <w:gridSpan w:val="6"/>
          </w:tcPr>
          <w:p>
            <w:pPr>
              <w:jc w:val="left"/>
              <w:rPr>
                <w:rFonts w:ascii="楷体" w:hAnsi="楷体" w:eastAsia="楷体" w:cs="楷体"/>
                <w:color w:val="auto"/>
                <w:sz w:val="28"/>
                <w:szCs w:val="28"/>
              </w:rPr>
            </w:pPr>
            <w:r>
              <w:rPr>
                <w:rFonts w:hint="eastAsia" w:ascii="楷体" w:hAnsi="楷体" w:eastAsia="楷体" w:cs="楷体"/>
                <w:color w:val="auto"/>
                <w:sz w:val="28"/>
                <w:szCs w:val="28"/>
                <w:lang w:val="en-US" w:eastAsia="zh-CN"/>
              </w:rPr>
              <w:t>2020年组织各县（市）、区供销社主任及市属公司经理前往河南省信阳市、江苏省南通市等地考察调研，学习组建供销集团先进经验，准备供销集团组建事宜。定期召开调度会听取综合改革情况，定期去各县市区考察村级服务社建设等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1"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项目调整内容及报批程序和手续</w:t>
            </w:r>
          </w:p>
        </w:tc>
        <w:tc>
          <w:tcPr>
            <w:tcW w:w="6506" w:type="dxa"/>
            <w:gridSpan w:val="6"/>
            <w:vAlign w:val="center"/>
          </w:tcPr>
          <w:p>
            <w:pPr>
              <w:spacing w:line="320" w:lineRule="exact"/>
              <w:jc w:val="left"/>
              <w:rPr>
                <w:rFonts w:ascii="楷体" w:hAnsi="楷体" w:eastAsia="楷体" w:cs="楷体"/>
                <w:sz w:val="28"/>
                <w:szCs w:val="28"/>
              </w:rPr>
            </w:pPr>
            <w:r>
              <w:rPr>
                <w:rFonts w:hint="eastAsia" w:ascii="楷体" w:hAnsi="楷体" w:eastAsia="楷体" w:cs="楷体"/>
                <w:sz w:val="28"/>
                <w:szCs w:val="28"/>
              </w:rPr>
              <w:t>本年度无调整内容。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3"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项目完工验收情况</w:t>
            </w:r>
          </w:p>
        </w:tc>
        <w:tc>
          <w:tcPr>
            <w:tcW w:w="6506" w:type="dxa"/>
            <w:gridSpan w:val="6"/>
            <w:vAlign w:val="center"/>
          </w:tcPr>
          <w:p>
            <w:pPr>
              <w:rPr>
                <w:rFonts w:hint="eastAsia" w:ascii="楷体" w:hAnsi="楷体" w:eastAsia="楷体" w:cs="楷体"/>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5" w:hRule="exact"/>
        </w:trPr>
        <w:tc>
          <w:tcPr>
            <w:tcW w:w="540" w:type="dxa"/>
            <w:vMerge w:val="restart"/>
          </w:tcPr>
          <w:p>
            <w:pPr>
              <w:spacing w:line="0" w:lineRule="atLeast"/>
              <w:rPr>
                <w:rFonts w:ascii="楷体" w:hAnsi="楷体" w:eastAsia="楷体" w:cs="楷体"/>
                <w:sz w:val="28"/>
                <w:szCs w:val="28"/>
              </w:rPr>
            </w:pPr>
            <w:r>
              <w:rPr>
                <w:rFonts w:hint="eastAsia" w:ascii="楷体" w:hAnsi="楷体" w:eastAsia="楷体" w:cs="楷体"/>
                <w:sz w:val="28"/>
                <w:szCs w:val="28"/>
              </w:rPr>
              <w:t>资金管理情况</w:t>
            </w:r>
          </w:p>
        </w:tc>
        <w:tc>
          <w:tcPr>
            <w:tcW w:w="2050" w:type="dxa"/>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资金使用管理</w:t>
            </w:r>
          </w:p>
        </w:tc>
        <w:tc>
          <w:tcPr>
            <w:tcW w:w="6506" w:type="dxa"/>
            <w:gridSpan w:val="6"/>
            <w:vAlign w:val="center"/>
          </w:tcPr>
          <w:p>
            <w:pPr>
              <w:jc w:val="left"/>
              <w:rPr>
                <w:rFonts w:ascii="楷体" w:hAnsi="楷体" w:eastAsia="楷体" w:cs="楷体"/>
                <w:sz w:val="28"/>
                <w:szCs w:val="28"/>
              </w:rPr>
            </w:pPr>
            <w:r>
              <w:rPr>
                <w:rFonts w:hint="eastAsia" w:ascii="楷体" w:hAnsi="楷体" w:eastAsia="楷体" w:cs="楷体"/>
                <w:sz w:val="28"/>
                <w:szCs w:val="28"/>
              </w:rPr>
              <w:t>资金在标准范围内使用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1"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财务管理制度</w:t>
            </w:r>
          </w:p>
        </w:tc>
        <w:tc>
          <w:tcPr>
            <w:tcW w:w="6506" w:type="dxa"/>
            <w:gridSpan w:val="6"/>
            <w:vAlign w:val="center"/>
          </w:tcPr>
          <w:p>
            <w:pPr>
              <w:spacing w:line="560" w:lineRule="exact"/>
              <w:rPr>
                <w:rFonts w:ascii="楷体" w:hAnsi="楷体" w:eastAsia="楷体" w:cs="楷体"/>
                <w:sz w:val="28"/>
                <w:szCs w:val="28"/>
              </w:rPr>
            </w:pPr>
            <w:r>
              <w:rPr>
                <w:rFonts w:hint="eastAsia" w:ascii="楷体" w:hAnsi="楷体" w:eastAsia="楷体" w:cs="楷体"/>
                <w:sz w:val="28"/>
                <w:szCs w:val="28"/>
                <w:lang w:eastAsia="zh-CN"/>
              </w:rPr>
              <w:t>邵阳市供销合作总社财务管理制度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1" w:hRule="exact"/>
        </w:trPr>
        <w:tc>
          <w:tcPr>
            <w:tcW w:w="540" w:type="dxa"/>
            <w:vMerge w:val="restart"/>
            <w:textDirection w:val="tbRlV"/>
            <w:vAlign w:val="center"/>
          </w:tcPr>
          <w:p>
            <w:pPr>
              <w:spacing w:line="500" w:lineRule="exact"/>
              <w:ind w:left="113" w:right="113" w:firstLine="560" w:firstLineChars="200"/>
              <w:jc w:val="both"/>
              <w:rPr>
                <w:rFonts w:hint="eastAsia" w:ascii="楷体" w:hAnsi="楷体" w:eastAsia="楷体" w:cs="楷体"/>
                <w:sz w:val="28"/>
                <w:szCs w:val="28"/>
                <w:lang w:eastAsia="zh-CN"/>
              </w:rPr>
            </w:pPr>
            <w:r>
              <w:rPr>
                <w:rFonts w:hint="eastAsia" w:ascii="楷体" w:hAnsi="楷体" w:eastAsia="楷体" w:cs="楷体"/>
                <w:sz w:val="28"/>
                <w:szCs w:val="28"/>
              </w:rPr>
              <w:t>资金</w:t>
            </w:r>
            <w:r>
              <w:rPr>
                <w:rFonts w:hint="eastAsia" w:ascii="楷体" w:hAnsi="楷体" w:eastAsia="楷体" w:cs="楷体"/>
                <w:sz w:val="28"/>
                <w:szCs w:val="28"/>
                <w:lang w:eastAsia="zh-CN"/>
              </w:rPr>
              <w:t>到位使用情况</w:t>
            </w:r>
          </w:p>
        </w:tc>
        <w:tc>
          <w:tcPr>
            <w:tcW w:w="2050" w:type="dxa"/>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内容</w:t>
            </w:r>
          </w:p>
        </w:tc>
        <w:tc>
          <w:tcPr>
            <w:tcW w:w="1796" w:type="dxa"/>
            <w:vAlign w:val="center"/>
          </w:tcPr>
          <w:p>
            <w:pPr>
              <w:jc w:val="center"/>
              <w:rPr>
                <w:rFonts w:ascii="楷体" w:hAnsi="楷体" w:eastAsia="楷体" w:cs="楷体"/>
                <w:sz w:val="28"/>
                <w:szCs w:val="28"/>
              </w:rPr>
            </w:pPr>
            <w:r>
              <w:rPr>
                <w:rFonts w:hint="eastAsia" w:ascii="楷体" w:hAnsi="楷体" w:eastAsia="楷体" w:cs="楷体"/>
                <w:sz w:val="28"/>
                <w:szCs w:val="28"/>
              </w:rPr>
              <w:t>应到位资金（万元）</w:t>
            </w:r>
          </w:p>
        </w:tc>
        <w:tc>
          <w:tcPr>
            <w:tcW w:w="1905"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实际到位资金（万元）</w:t>
            </w:r>
          </w:p>
        </w:tc>
        <w:tc>
          <w:tcPr>
            <w:tcW w:w="1425"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实际支出（万元）</w:t>
            </w:r>
          </w:p>
        </w:tc>
        <w:tc>
          <w:tcPr>
            <w:tcW w:w="1380" w:type="dxa"/>
            <w:vAlign w:val="center"/>
          </w:tcPr>
          <w:p>
            <w:pPr>
              <w:jc w:val="center"/>
              <w:rPr>
                <w:rFonts w:ascii="楷体" w:hAnsi="楷体" w:eastAsia="楷体" w:cs="楷体"/>
                <w:sz w:val="28"/>
                <w:szCs w:val="28"/>
              </w:rPr>
            </w:pPr>
            <w:r>
              <w:rPr>
                <w:rFonts w:hint="eastAsia" w:ascii="楷体" w:hAnsi="楷体" w:eastAsia="楷体" w:cs="楷体"/>
                <w:sz w:val="28"/>
                <w:szCs w:val="28"/>
              </w:rPr>
              <w:t>结余资金（万元）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ind w:firstLine="280" w:firstLineChars="100"/>
              <w:rPr>
                <w:rFonts w:ascii="楷体" w:hAnsi="楷体" w:eastAsia="楷体" w:cs="楷体"/>
                <w:sz w:val="28"/>
                <w:szCs w:val="28"/>
              </w:rPr>
            </w:pPr>
            <w:r>
              <w:rPr>
                <w:rFonts w:hint="eastAsia" w:ascii="楷体" w:hAnsi="楷体" w:eastAsia="楷体" w:cs="楷体"/>
                <w:sz w:val="28"/>
                <w:szCs w:val="28"/>
              </w:rPr>
              <w:t>中央财政</w:t>
            </w:r>
          </w:p>
        </w:tc>
        <w:tc>
          <w:tcPr>
            <w:tcW w:w="1796" w:type="dxa"/>
            <w:vAlign w:val="center"/>
          </w:tcPr>
          <w:p>
            <w:pPr>
              <w:jc w:val="center"/>
              <w:rPr>
                <w:rFonts w:ascii="楷体" w:hAnsi="楷体" w:eastAsia="楷体" w:cs="楷体"/>
                <w:sz w:val="28"/>
                <w:szCs w:val="28"/>
              </w:rPr>
            </w:pPr>
            <w:r>
              <w:rPr>
                <w:rFonts w:hint="eastAsia" w:ascii="楷体" w:hAnsi="楷体" w:eastAsia="楷体" w:cs="楷体"/>
                <w:sz w:val="28"/>
                <w:szCs w:val="28"/>
              </w:rPr>
              <w:t xml:space="preserve">       </w:t>
            </w:r>
          </w:p>
        </w:tc>
        <w:tc>
          <w:tcPr>
            <w:tcW w:w="1905" w:type="dxa"/>
            <w:gridSpan w:val="2"/>
            <w:vAlign w:val="center"/>
          </w:tcPr>
          <w:p>
            <w:pPr>
              <w:jc w:val="center"/>
              <w:rPr>
                <w:rFonts w:ascii="楷体" w:hAnsi="楷体" w:eastAsia="楷体" w:cs="楷体"/>
                <w:sz w:val="28"/>
                <w:szCs w:val="28"/>
              </w:rPr>
            </w:pPr>
          </w:p>
        </w:tc>
        <w:tc>
          <w:tcPr>
            <w:tcW w:w="1425" w:type="dxa"/>
            <w:gridSpan w:val="2"/>
            <w:vAlign w:val="center"/>
          </w:tcPr>
          <w:p>
            <w:pPr>
              <w:jc w:val="center"/>
              <w:rPr>
                <w:rFonts w:ascii="楷体" w:hAnsi="楷体" w:eastAsia="楷体" w:cs="楷体"/>
                <w:sz w:val="28"/>
                <w:szCs w:val="28"/>
              </w:rPr>
            </w:pPr>
          </w:p>
        </w:tc>
        <w:tc>
          <w:tcPr>
            <w:tcW w:w="1380" w:type="dxa"/>
            <w:vAlign w:val="center"/>
          </w:tcPr>
          <w:p>
            <w:pPr>
              <w:jc w:val="center"/>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省级财政</w:t>
            </w:r>
          </w:p>
        </w:tc>
        <w:tc>
          <w:tcPr>
            <w:tcW w:w="1796" w:type="dxa"/>
            <w:vAlign w:val="center"/>
          </w:tcPr>
          <w:p>
            <w:pPr>
              <w:jc w:val="center"/>
              <w:rPr>
                <w:rFonts w:ascii="楷体" w:hAnsi="楷体" w:eastAsia="楷体" w:cs="楷体"/>
                <w:sz w:val="28"/>
                <w:szCs w:val="28"/>
              </w:rPr>
            </w:pPr>
          </w:p>
        </w:tc>
        <w:tc>
          <w:tcPr>
            <w:tcW w:w="1905" w:type="dxa"/>
            <w:gridSpan w:val="2"/>
            <w:vAlign w:val="center"/>
          </w:tcPr>
          <w:p>
            <w:pPr>
              <w:jc w:val="center"/>
              <w:rPr>
                <w:rFonts w:ascii="楷体" w:hAnsi="楷体" w:eastAsia="楷体" w:cs="楷体"/>
                <w:sz w:val="28"/>
                <w:szCs w:val="28"/>
              </w:rPr>
            </w:pPr>
          </w:p>
        </w:tc>
        <w:tc>
          <w:tcPr>
            <w:tcW w:w="1425" w:type="dxa"/>
            <w:gridSpan w:val="2"/>
            <w:vAlign w:val="center"/>
          </w:tcPr>
          <w:p>
            <w:pPr>
              <w:jc w:val="center"/>
              <w:rPr>
                <w:rFonts w:ascii="楷体" w:hAnsi="楷体" w:eastAsia="楷体" w:cs="楷体"/>
                <w:sz w:val="28"/>
                <w:szCs w:val="28"/>
              </w:rPr>
            </w:pPr>
          </w:p>
        </w:tc>
        <w:tc>
          <w:tcPr>
            <w:tcW w:w="1380" w:type="dxa"/>
            <w:vAlign w:val="center"/>
          </w:tcPr>
          <w:p>
            <w:pPr>
              <w:jc w:val="center"/>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市级财政</w:t>
            </w:r>
          </w:p>
        </w:tc>
        <w:tc>
          <w:tcPr>
            <w:tcW w:w="1796" w:type="dxa"/>
            <w:vAlign w:val="center"/>
          </w:tcPr>
          <w:p>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100</w:t>
            </w:r>
          </w:p>
        </w:tc>
        <w:tc>
          <w:tcPr>
            <w:tcW w:w="1905" w:type="dxa"/>
            <w:gridSpan w:val="2"/>
            <w:vAlign w:val="center"/>
          </w:tcPr>
          <w:p>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100</w:t>
            </w:r>
          </w:p>
        </w:tc>
        <w:tc>
          <w:tcPr>
            <w:tcW w:w="1425" w:type="dxa"/>
            <w:gridSpan w:val="2"/>
            <w:vAlign w:val="center"/>
          </w:tcPr>
          <w:p>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100</w:t>
            </w:r>
          </w:p>
        </w:tc>
        <w:tc>
          <w:tcPr>
            <w:tcW w:w="1380" w:type="dxa"/>
            <w:vAlign w:val="center"/>
          </w:tcPr>
          <w:p>
            <w:pPr>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其它</w:t>
            </w:r>
          </w:p>
        </w:tc>
        <w:tc>
          <w:tcPr>
            <w:tcW w:w="1796" w:type="dxa"/>
            <w:vAlign w:val="center"/>
          </w:tcPr>
          <w:p>
            <w:pPr>
              <w:jc w:val="center"/>
              <w:rPr>
                <w:rFonts w:ascii="楷体" w:hAnsi="楷体" w:eastAsia="楷体" w:cs="楷体"/>
                <w:sz w:val="28"/>
                <w:szCs w:val="28"/>
              </w:rPr>
            </w:pPr>
          </w:p>
        </w:tc>
        <w:tc>
          <w:tcPr>
            <w:tcW w:w="1905" w:type="dxa"/>
            <w:gridSpan w:val="2"/>
            <w:vAlign w:val="center"/>
          </w:tcPr>
          <w:p>
            <w:pPr>
              <w:jc w:val="center"/>
              <w:rPr>
                <w:rFonts w:ascii="楷体" w:hAnsi="楷体" w:eastAsia="楷体" w:cs="楷体"/>
                <w:sz w:val="28"/>
                <w:szCs w:val="28"/>
              </w:rPr>
            </w:pPr>
          </w:p>
        </w:tc>
        <w:tc>
          <w:tcPr>
            <w:tcW w:w="1425" w:type="dxa"/>
            <w:gridSpan w:val="2"/>
            <w:vAlign w:val="center"/>
          </w:tcPr>
          <w:p>
            <w:pPr>
              <w:jc w:val="center"/>
              <w:rPr>
                <w:rFonts w:ascii="楷体" w:hAnsi="楷体" w:eastAsia="楷体" w:cs="楷体"/>
                <w:sz w:val="28"/>
                <w:szCs w:val="28"/>
              </w:rPr>
            </w:pPr>
          </w:p>
        </w:tc>
        <w:tc>
          <w:tcPr>
            <w:tcW w:w="1380" w:type="dxa"/>
            <w:vAlign w:val="center"/>
          </w:tcPr>
          <w:p>
            <w:pPr>
              <w:jc w:val="center"/>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合　　计</w:t>
            </w:r>
          </w:p>
        </w:tc>
        <w:tc>
          <w:tcPr>
            <w:tcW w:w="1796" w:type="dxa"/>
            <w:vAlign w:val="center"/>
          </w:tcPr>
          <w:p>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100</w:t>
            </w:r>
          </w:p>
        </w:tc>
        <w:tc>
          <w:tcPr>
            <w:tcW w:w="1905" w:type="dxa"/>
            <w:gridSpan w:val="2"/>
            <w:vAlign w:val="center"/>
          </w:tcPr>
          <w:p>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100</w:t>
            </w:r>
          </w:p>
        </w:tc>
        <w:tc>
          <w:tcPr>
            <w:tcW w:w="1425" w:type="dxa"/>
            <w:gridSpan w:val="2"/>
            <w:vAlign w:val="center"/>
          </w:tcPr>
          <w:p>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100</w:t>
            </w:r>
          </w:p>
        </w:tc>
        <w:tc>
          <w:tcPr>
            <w:tcW w:w="1380" w:type="dxa"/>
            <w:vAlign w:val="center"/>
          </w:tcPr>
          <w:p>
            <w:pPr>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trPr>
        <w:tc>
          <w:tcPr>
            <w:tcW w:w="54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r>
              <w:rPr>
                <w:rFonts w:hint="eastAsia" w:ascii="楷体" w:hAnsi="楷体" w:eastAsia="楷体" w:cs="楷体"/>
                <w:sz w:val="28"/>
                <w:szCs w:val="28"/>
              </w:rPr>
              <w:t>产出成果</w:t>
            </w:r>
          </w:p>
        </w:tc>
        <w:tc>
          <w:tcPr>
            <w:tcW w:w="8556" w:type="dxa"/>
            <w:gridSpan w:val="7"/>
            <w:tcBorders>
              <w:top w:val="single" w:color="auto" w:sz="4" w:space="0"/>
              <w:left w:val="single" w:color="auto" w:sz="4" w:space="0"/>
              <w:bottom w:val="single" w:color="auto" w:sz="4" w:space="0"/>
              <w:right w:val="single" w:color="auto" w:sz="4" w:space="0"/>
            </w:tcBorders>
          </w:tcPr>
          <w:p>
            <w:pPr>
              <w:ind w:firstLine="280" w:firstLineChars="100"/>
              <w:rPr>
                <w:rFonts w:hint="eastAsia" w:ascii="楷体" w:hAnsi="楷体" w:eastAsia="楷体" w:cs="楷体"/>
                <w:color w:val="000000"/>
                <w:kern w:val="0"/>
                <w:sz w:val="28"/>
                <w:szCs w:val="28"/>
                <w:lang w:val="en-US" w:eastAsia="zh-CN" w:bidi="ar-SA"/>
              </w:rPr>
            </w:pPr>
            <w:r>
              <w:rPr>
                <w:rFonts w:hint="eastAsia" w:ascii="楷体" w:hAnsi="楷体" w:eastAsia="楷体" w:cs="楷体"/>
                <w:color w:val="000000"/>
                <w:kern w:val="0"/>
                <w:sz w:val="28"/>
                <w:szCs w:val="28"/>
                <w:lang w:val="en-US" w:eastAsia="zh-CN" w:bidi="ar-SA"/>
              </w:rPr>
              <w:t>按照市委深化供销合作社综合改革的总的部署，2020年，80%以上县级社建成规范化县级社，乡镇基层社覆盖率达到90%以上，村级（社区）综合服务社覆盖率达到90%以上。基层社标杆社达到30%以上，三星级以上综合服务社达到60%以上。全市70%的县、乡建立农村合作经济组织联合会和农民合作社联合社。</w:t>
            </w:r>
          </w:p>
          <w:p>
            <w:pPr>
              <w:ind w:firstLine="280" w:firstLineChars="100"/>
              <w:rPr>
                <w:rFonts w:ascii="楷体" w:hAnsi="楷体" w:eastAsia="楷体" w:cs="楷体"/>
                <w:sz w:val="28"/>
                <w:szCs w:val="28"/>
              </w:rPr>
            </w:pPr>
            <w:r>
              <w:rPr>
                <w:rFonts w:hint="eastAsia" w:ascii="楷体" w:hAnsi="楷体" w:eastAsia="楷体" w:cs="楷体"/>
                <w:color w:val="000000"/>
                <w:kern w:val="0"/>
                <w:sz w:val="28"/>
                <w:szCs w:val="28"/>
                <w:lang w:val="en-US" w:eastAsia="zh-CN" w:bidi="ar-SA"/>
              </w:rPr>
              <w:t>通过整合多方为农服务平台，共同建设农村电商服务站，切切实实为农民提供优惠、便捷的服务。同时，要坚持开放办社，开展跨地区、跨行业、跨所有制的联合与合作。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90" w:hRule="atLeast"/>
        </w:trPr>
        <w:tc>
          <w:tcPr>
            <w:tcW w:w="54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cs="楷体"/>
                <w:sz w:val="28"/>
                <w:szCs w:val="28"/>
              </w:rPr>
            </w:pPr>
          </w:p>
          <w:p>
            <w:pPr>
              <w:spacing w:line="320" w:lineRule="exact"/>
              <w:jc w:val="center"/>
              <w:rPr>
                <w:rFonts w:ascii="楷体" w:hAnsi="楷体" w:eastAsia="楷体" w:cs="楷体"/>
                <w:sz w:val="28"/>
                <w:szCs w:val="28"/>
              </w:rPr>
            </w:pPr>
          </w:p>
          <w:p>
            <w:pPr>
              <w:spacing w:line="320" w:lineRule="exact"/>
              <w:jc w:val="center"/>
              <w:rPr>
                <w:rFonts w:ascii="楷体" w:hAnsi="楷体" w:eastAsia="楷体" w:cs="楷体"/>
                <w:sz w:val="28"/>
                <w:szCs w:val="28"/>
              </w:rPr>
            </w:pPr>
            <w:r>
              <w:rPr>
                <w:rFonts w:hint="eastAsia" w:ascii="楷体" w:hAnsi="楷体" w:eastAsia="楷体" w:cs="楷体"/>
                <w:sz w:val="28"/>
                <w:szCs w:val="28"/>
              </w:rPr>
              <w:t>产出效益</w:t>
            </w:r>
          </w:p>
        </w:tc>
        <w:tc>
          <w:tcPr>
            <w:tcW w:w="8556" w:type="dxa"/>
            <w:gridSpan w:val="7"/>
            <w:tcBorders>
              <w:top w:val="single" w:color="auto" w:sz="4" w:space="0"/>
              <w:left w:val="single" w:color="auto" w:sz="4" w:space="0"/>
              <w:bottom w:val="single" w:color="auto" w:sz="4" w:space="0"/>
              <w:right w:val="single" w:color="auto" w:sz="4" w:space="0"/>
            </w:tcBorders>
          </w:tcPr>
          <w:p>
            <w:pPr>
              <w:ind w:firstLine="560" w:firstLineChars="200"/>
              <w:rPr>
                <w:rFonts w:ascii="楷体" w:hAnsi="楷体" w:eastAsia="楷体" w:cs="楷体"/>
                <w:sz w:val="28"/>
                <w:szCs w:val="28"/>
              </w:rPr>
            </w:pPr>
            <w:r>
              <w:rPr>
                <w:rFonts w:hint="eastAsia" w:ascii="楷体" w:hAnsi="楷体" w:eastAsia="楷体" w:cs="楷体"/>
                <w:sz w:val="28"/>
                <w:szCs w:val="28"/>
                <w:lang w:eastAsia="zh-CN"/>
              </w:rPr>
              <w:t>供销体制综合改革作为供销社最重点的工作，</w:t>
            </w:r>
            <w:r>
              <w:rPr>
                <w:rFonts w:hint="eastAsia" w:ascii="楷体" w:hAnsi="楷体" w:eastAsia="楷体" w:cs="楷体"/>
                <w:sz w:val="28"/>
                <w:szCs w:val="28"/>
              </w:rPr>
              <w:t>必须得以重视和投入大量的专项经费</w:t>
            </w:r>
            <w:r>
              <w:rPr>
                <w:rFonts w:hint="eastAsia" w:ascii="楷体" w:hAnsi="楷体" w:eastAsia="楷体" w:cs="楷体"/>
                <w:sz w:val="28"/>
                <w:szCs w:val="28"/>
                <w:lang w:eastAsia="zh-CN"/>
              </w:rPr>
              <w:t>。在综合改革中，进一步提升综合服务社的覆盖率，多方整合为农服务平台，进一步提升业务规模，为农增收，形成可持续影响，提升群众满意度。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9" w:hRule="atLeast"/>
        </w:trPr>
        <w:tc>
          <w:tcPr>
            <w:tcW w:w="54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cs="楷体"/>
                <w:sz w:val="28"/>
                <w:szCs w:val="28"/>
              </w:rPr>
            </w:pPr>
            <w:r>
              <w:rPr>
                <w:rFonts w:hint="eastAsia" w:ascii="楷体" w:hAnsi="楷体" w:eastAsia="楷体" w:cs="楷体"/>
                <w:sz w:val="28"/>
                <w:szCs w:val="28"/>
              </w:rPr>
              <w:t>自评结论</w:t>
            </w:r>
          </w:p>
        </w:tc>
        <w:tc>
          <w:tcPr>
            <w:tcW w:w="8556" w:type="dxa"/>
            <w:gridSpan w:val="7"/>
            <w:tcBorders>
              <w:top w:val="single" w:color="auto" w:sz="4" w:space="0"/>
              <w:left w:val="single" w:color="auto" w:sz="4" w:space="0"/>
              <w:bottom w:val="single" w:color="auto" w:sz="4" w:space="0"/>
              <w:right w:val="single" w:color="auto" w:sz="4" w:space="0"/>
            </w:tcBorders>
          </w:tcPr>
          <w:p>
            <w:pPr>
              <w:rPr>
                <w:rFonts w:hint="eastAsia" w:ascii="楷体" w:hAnsi="楷体" w:eastAsia="楷体" w:cs="楷体"/>
                <w:sz w:val="28"/>
                <w:szCs w:val="28"/>
                <w:lang w:eastAsia="zh-CN"/>
              </w:rPr>
            </w:pPr>
            <w:r>
              <w:rPr>
                <w:rFonts w:hint="eastAsia" w:ascii="楷体" w:hAnsi="楷体" w:eastAsia="楷体" w:cs="楷体"/>
                <w:sz w:val="28"/>
                <w:szCs w:val="28"/>
              </w:rPr>
              <w:t>　</w:t>
            </w:r>
            <w:r>
              <w:rPr>
                <w:rFonts w:hint="eastAsia" w:ascii="楷体" w:hAnsi="楷体" w:eastAsia="楷体" w:cs="楷体"/>
                <w:sz w:val="28"/>
                <w:szCs w:val="28"/>
                <w:lang w:eastAsia="zh-CN"/>
              </w:rPr>
              <w:t>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9" w:hRule="atLeast"/>
        </w:trPr>
        <w:tc>
          <w:tcPr>
            <w:tcW w:w="54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cs="楷体"/>
                <w:sz w:val="28"/>
                <w:szCs w:val="28"/>
              </w:rPr>
            </w:pPr>
            <w:r>
              <w:rPr>
                <w:rFonts w:hint="eastAsia" w:ascii="楷体" w:hAnsi="楷体" w:eastAsia="楷体" w:cs="楷体"/>
                <w:sz w:val="28"/>
                <w:szCs w:val="28"/>
              </w:rPr>
              <w:t>问题与建议</w:t>
            </w:r>
          </w:p>
        </w:tc>
        <w:tc>
          <w:tcPr>
            <w:tcW w:w="8556" w:type="dxa"/>
            <w:gridSpan w:val="7"/>
            <w:tcBorders>
              <w:top w:val="single" w:color="auto" w:sz="4" w:space="0"/>
              <w:left w:val="single" w:color="auto" w:sz="4" w:space="0"/>
              <w:bottom w:val="single" w:color="auto" w:sz="4" w:space="0"/>
              <w:right w:val="single" w:color="auto" w:sz="4" w:space="0"/>
            </w:tcBorders>
          </w:tcPr>
          <w:p>
            <w:pPr>
              <w:rPr>
                <w:rFonts w:ascii="楷体" w:hAnsi="楷体" w:eastAsia="楷体" w:cs="楷体"/>
                <w:sz w:val="28"/>
                <w:szCs w:val="28"/>
              </w:rPr>
            </w:pPr>
            <w:r>
              <w:rPr>
                <w:rFonts w:hint="eastAsia" w:ascii="楷体" w:hAnsi="楷体" w:eastAsia="楷体" w:cs="楷体"/>
                <w:sz w:val="28"/>
                <w:szCs w:val="28"/>
              </w:rPr>
              <w:t>　</w:t>
            </w:r>
            <w:r>
              <w:rPr>
                <w:rFonts w:hint="eastAsia" w:ascii="楷体" w:hAnsi="楷体" w:eastAsia="楷体" w:cs="楷体"/>
                <w:color w:val="000000"/>
                <w:kern w:val="0"/>
                <w:sz w:val="28"/>
                <w:szCs w:val="28"/>
                <w:lang w:eastAsia="zh-CN"/>
              </w:rPr>
              <w:t>供销合作社综合改革工作是一项涵盖范围广，时间周期长、过程艰巨的工作，虽然政府已经出台较为完整的实施方案，但是由于经费问题，推行和实施仍存在一定的困难</w:t>
            </w:r>
            <w:bookmarkStart w:id="0" w:name="_GoBack"/>
            <w:bookmarkEnd w:id="0"/>
            <w:r>
              <w:rPr>
                <w:rFonts w:hint="eastAsia" w:ascii="楷体" w:hAnsi="楷体" w:eastAsia="楷体" w:cs="楷体"/>
                <w:color w:val="000000"/>
                <w:kern w:val="0"/>
                <w:sz w:val="28"/>
                <w:szCs w:val="28"/>
                <w:lang w:eastAsia="zh-CN"/>
              </w:rPr>
              <w:t>，影响了改革的进度。希望政府和财政能加大资金投入，确保该项工作平稳顺利进行。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31" w:hRule="atLeast"/>
        </w:trPr>
        <w:tc>
          <w:tcPr>
            <w:tcW w:w="54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cs="楷体"/>
                <w:sz w:val="28"/>
                <w:szCs w:val="28"/>
              </w:rPr>
            </w:pPr>
            <w:r>
              <w:rPr>
                <w:rFonts w:hint="eastAsia" w:ascii="楷体" w:hAnsi="楷体" w:eastAsia="楷体" w:cs="楷体"/>
                <w:sz w:val="28"/>
                <w:szCs w:val="28"/>
              </w:rPr>
              <w:t>主管部门审核意见</w:t>
            </w:r>
          </w:p>
        </w:tc>
        <w:tc>
          <w:tcPr>
            <w:tcW w:w="8556" w:type="dxa"/>
            <w:gridSpan w:val="7"/>
            <w:tcBorders>
              <w:top w:val="single" w:color="auto" w:sz="4" w:space="0"/>
              <w:left w:val="single" w:color="auto" w:sz="4" w:space="0"/>
              <w:bottom w:val="single" w:color="auto" w:sz="4" w:space="0"/>
              <w:right w:val="single" w:color="auto" w:sz="4" w:space="0"/>
            </w:tcBorders>
          </w:tcPr>
          <w:p>
            <w:pPr>
              <w:ind w:firstLine="4480" w:firstLineChars="1600"/>
              <w:rPr>
                <w:rFonts w:ascii="楷体" w:hAnsi="楷体" w:eastAsia="楷体" w:cs="楷体"/>
                <w:sz w:val="28"/>
                <w:szCs w:val="28"/>
              </w:rPr>
            </w:pPr>
          </w:p>
          <w:p>
            <w:pPr>
              <w:ind w:firstLine="4480" w:firstLineChars="1600"/>
              <w:rPr>
                <w:rFonts w:ascii="楷体" w:hAnsi="楷体" w:eastAsia="楷体" w:cs="楷体"/>
                <w:sz w:val="28"/>
                <w:szCs w:val="28"/>
              </w:rPr>
            </w:pPr>
          </w:p>
          <w:p>
            <w:pPr>
              <w:ind w:firstLine="4480" w:firstLineChars="1600"/>
              <w:rPr>
                <w:rFonts w:ascii="楷体" w:hAnsi="楷体" w:eastAsia="楷体" w:cs="楷体"/>
                <w:sz w:val="28"/>
                <w:szCs w:val="28"/>
              </w:rPr>
            </w:pPr>
          </w:p>
          <w:p>
            <w:pPr>
              <w:ind w:firstLine="4480" w:firstLineChars="1600"/>
              <w:rPr>
                <w:rFonts w:ascii="楷体" w:hAnsi="楷体" w:eastAsia="楷体" w:cs="楷体"/>
                <w:sz w:val="28"/>
                <w:szCs w:val="28"/>
              </w:rPr>
            </w:pPr>
            <w:r>
              <w:rPr>
                <w:rFonts w:hint="eastAsia" w:ascii="楷体" w:hAnsi="楷体" w:eastAsia="楷体" w:cs="楷体"/>
                <w:sz w:val="28"/>
                <w:szCs w:val="28"/>
              </w:rPr>
              <w:t>主管部门（盖章）：</w:t>
            </w:r>
          </w:p>
        </w:tc>
      </w:tr>
    </w:tbl>
    <w:p>
      <w:pPr>
        <w:spacing w:line="480" w:lineRule="exact"/>
        <w:rPr>
          <w:rFonts w:ascii="楷体" w:hAnsi="楷体" w:eastAsia="楷体" w:cs="楷体"/>
          <w:sz w:val="32"/>
          <w:szCs w:val="32"/>
        </w:rPr>
      </w:pPr>
      <w:r>
        <w:rPr>
          <w:rFonts w:hint="eastAsia" w:ascii="楷体" w:hAnsi="楷体" w:eastAsia="楷体" w:cs="楷体"/>
          <w:sz w:val="32"/>
          <w:szCs w:val="32"/>
        </w:rPr>
        <w:t>单位负责人：　　　</w:t>
      </w:r>
    </w:p>
    <w:p>
      <w:pPr>
        <w:spacing w:line="480" w:lineRule="exact"/>
        <w:rPr>
          <w:rFonts w:ascii="楷体" w:hAnsi="楷体" w:eastAsia="楷体" w:cs="楷体"/>
          <w:sz w:val="32"/>
          <w:szCs w:val="32"/>
        </w:rPr>
      </w:pPr>
      <w:r>
        <w:rPr>
          <w:rFonts w:hint="eastAsia" w:ascii="楷体" w:hAnsi="楷体" w:eastAsia="楷体" w:cs="楷体"/>
          <w:sz w:val="32"/>
          <w:szCs w:val="32"/>
          <w:lang w:eastAsia="zh-CN"/>
        </w:rPr>
        <w:t>项目</w:t>
      </w:r>
      <w:r>
        <w:rPr>
          <w:rFonts w:hint="eastAsia" w:ascii="楷体" w:hAnsi="楷体" w:eastAsia="楷体" w:cs="楷体"/>
          <w:sz w:val="32"/>
          <w:szCs w:val="32"/>
        </w:rPr>
        <w:t>负责人：　　　</w:t>
      </w:r>
    </w:p>
    <w:p>
      <w:pPr>
        <w:spacing w:line="480" w:lineRule="exact"/>
        <w:rPr>
          <w:rFonts w:ascii="楷体" w:hAnsi="楷体" w:eastAsia="楷体" w:cs="楷体"/>
          <w:sz w:val="32"/>
          <w:szCs w:val="32"/>
        </w:rPr>
      </w:pPr>
      <w:r>
        <w:rPr>
          <w:rFonts w:hint="eastAsia" w:ascii="楷体" w:hAnsi="楷体" w:eastAsia="楷体" w:cs="楷体"/>
          <w:sz w:val="32"/>
          <w:szCs w:val="32"/>
        </w:rPr>
        <w:t>评价负责人：</w:t>
      </w:r>
    </w:p>
    <w:p>
      <w:pPr>
        <w:rPr>
          <w:rFonts w:hint="eastAsia" w:eastAsiaTheme="minor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yOWNkYzk4YjkyOGI1OGMzMGJmMDU5NGU4NGNiOWYifQ=="/>
  </w:docVars>
  <w:rsids>
    <w:rsidRoot w:val="460006E9"/>
    <w:rsid w:val="1F253DD8"/>
    <w:rsid w:val="460006E9"/>
    <w:rsid w:val="5C556072"/>
    <w:rsid w:val="644906A6"/>
    <w:rsid w:val="7E1523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1424</Words>
  <Characters>1485</Characters>
  <Lines>0</Lines>
  <Paragraphs>0</Paragraphs>
  <TotalTime>3</TotalTime>
  <ScaleCrop>false</ScaleCrop>
  <LinksUpToDate>false</LinksUpToDate>
  <CharactersWithSpaces>1720</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2021-06-21T03:43:00Z</dcterms:created>
  <dc:creator>Administrator</dc:creator>
  <cp:lastModifiedBy>Administrator</cp:lastModifiedBy>
  <dcterms:modified xsi:type="dcterms:W3CDTF">2022-07-20T05:57:07Z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5430ED17DC58483F9A67C264FB79CB41</vt:lpwstr>
  </property>
</Properties>
</file>