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附件2</w:t>
      </w:r>
    </w:p>
    <w:p>
      <w:pPr>
        <w:jc w:val="center"/>
        <w:rPr>
          <w:rFonts w:ascii="黑体" w:eastAsia="黑体"/>
          <w:sz w:val="44"/>
          <w:szCs w:val="44"/>
        </w:rPr>
      </w:pPr>
      <w:r>
        <w:rPr>
          <w:rFonts w:hint="eastAsia" w:ascii="黑体" w:hAnsi="黑体" w:eastAsia="黑体"/>
          <w:sz w:val="44"/>
          <w:szCs w:val="44"/>
        </w:rPr>
        <w:t>项目支出绩效自评报告表</w:t>
      </w:r>
    </w:p>
    <w:p>
      <w:pPr>
        <w:spacing w:line="360" w:lineRule="auto"/>
        <w:rPr>
          <w:rFonts w:ascii="楷体" w:hAnsi="楷体" w:eastAsia="楷体"/>
          <w:sz w:val="32"/>
          <w:szCs w:val="32"/>
        </w:rPr>
      </w:pPr>
    </w:p>
    <w:p>
      <w:pPr>
        <w:spacing w:line="360" w:lineRule="auto"/>
        <w:rPr>
          <w:rFonts w:ascii="楷体" w:hAnsi="楷体" w:eastAsia="楷体"/>
          <w:sz w:val="32"/>
          <w:szCs w:val="32"/>
        </w:rPr>
      </w:pPr>
      <w:r>
        <w:rPr>
          <w:rFonts w:hint="eastAsia" w:ascii="楷体" w:hAnsi="楷体" w:eastAsia="楷体"/>
          <w:sz w:val="32"/>
          <w:szCs w:val="32"/>
        </w:rPr>
        <w:t>填报部门：邵阳市美术馆    填报日期：2021年6月25日</w:t>
      </w:r>
    </w:p>
    <w:tbl>
      <w:tblPr>
        <w:tblStyle w:val="2"/>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9"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基本情况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项目支出名称</w:t>
            </w:r>
          </w:p>
        </w:tc>
        <w:tc>
          <w:tcPr>
            <w:tcW w:w="6120" w:type="dxa"/>
            <w:gridSpan w:val="6"/>
            <w:tcBorders>
              <w:top w:val="single" w:color="auto" w:sz="4" w:space="0"/>
              <w:left w:val="nil"/>
              <w:bottom w:val="single" w:color="auto" w:sz="4" w:space="0"/>
              <w:right w:val="single" w:color="auto" w:sz="4" w:space="0"/>
            </w:tcBorders>
          </w:tcPr>
          <w:p>
            <w:pPr>
              <w:rPr>
                <w:rFonts w:ascii="楷体" w:hAnsi="楷体" w:eastAsia="楷体"/>
              </w:rPr>
            </w:pPr>
            <w:r>
              <w:rPr>
                <w:rFonts w:hint="eastAsia" w:ascii="宋体" w:hAnsi="宋体"/>
                <w:color w:val="000000"/>
                <w:kern w:val="0"/>
              </w:rPr>
              <w:t xml:space="preserve">  </w:t>
            </w:r>
            <w:r>
              <w:rPr>
                <w:rFonts w:hint="eastAsia" w:ascii="楷体" w:hAnsi="楷体" w:eastAsia="楷体"/>
                <w:color w:val="000000"/>
                <w:kern w:val="0"/>
                <w:sz w:val="28"/>
                <w:szCs w:val="28"/>
              </w:rPr>
              <w:t>美术馆免费开放及公益活动配套经费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项目支出主要内容</w:t>
            </w:r>
          </w:p>
        </w:tc>
        <w:tc>
          <w:tcPr>
            <w:tcW w:w="6120" w:type="dxa"/>
            <w:gridSpan w:val="6"/>
            <w:tcBorders>
              <w:top w:val="single" w:color="auto" w:sz="4" w:space="0"/>
              <w:left w:val="nil"/>
              <w:bottom w:val="single" w:color="auto" w:sz="4" w:space="0"/>
              <w:right w:val="single" w:color="auto" w:sz="4" w:space="0"/>
            </w:tcBorders>
          </w:tcPr>
          <w:p>
            <w:pPr>
              <w:rPr>
                <w:rFonts w:ascii="楷体" w:hAnsi="楷体" w:eastAsia="楷体"/>
              </w:rPr>
            </w:pPr>
            <w:r>
              <w:rPr>
                <w:rFonts w:hint="eastAsia" w:ascii="宋体" w:hAnsi="宋体"/>
                <w:color w:val="000000"/>
                <w:kern w:val="0"/>
              </w:rPr>
              <w:t xml:space="preserve"> </w:t>
            </w:r>
            <w:r>
              <w:rPr>
                <w:rFonts w:hint="eastAsia" w:ascii="楷体" w:hAnsi="楷体" w:eastAsia="楷体"/>
                <w:color w:val="000000"/>
                <w:kern w:val="0"/>
              </w:rPr>
              <w:t xml:space="preserve"> </w:t>
            </w:r>
            <w:r>
              <w:rPr>
                <w:rFonts w:hint="eastAsia" w:ascii="楷体" w:hAnsi="楷体" w:eastAsia="楷体"/>
                <w:color w:val="000000"/>
                <w:kern w:val="0"/>
                <w:sz w:val="28"/>
                <w:szCs w:val="28"/>
              </w:rPr>
              <w:t>美术馆免费开放及公益活动配套经费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主管部门</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邵阳市文旅广体局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单位负责人</w:t>
            </w:r>
          </w:p>
        </w:tc>
        <w:tc>
          <w:tcPr>
            <w:tcW w:w="2155" w:type="dxa"/>
            <w:gridSpan w:val="2"/>
            <w:tcBorders>
              <w:top w:val="single" w:color="auto" w:sz="4" w:space="0"/>
              <w:left w:val="nil"/>
              <w:bottom w:val="single" w:color="auto" w:sz="4" w:space="0"/>
              <w:right w:val="single" w:color="auto" w:sz="4" w:space="0"/>
            </w:tcBorders>
          </w:tcPr>
          <w:p>
            <w:pPr>
              <w:spacing w:line="540" w:lineRule="exact"/>
              <w:ind w:firstLine="360"/>
              <w:jc w:val="left"/>
              <w:rPr>
                <w:rFonts w:ascii="楷体" w:hAnsi="楷体" w:eastAsia="楷体"/>
                <w:sz w:val="28"/>
                <w:szCs w:val="28"/>
              </w:rPr>
            </w:pPr>
            <w:r>
              <w:rPr>
                <w:rFonts w:hint="eastAsia" w:ascii="楷体" w:hAnsi="楷体" w:eastAsia="楷体"/>
                <w:sz w:val="28"/>
                <w:szCs w:val="28"/>
              </w:rPr>
              <w:t>刘展艳</w:t>
            </w:r>
          </w:p>
        </w:tc>
        <w:tc>
          <w:tcPr>
            <w:tcW w:w="178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项目支出  负责人</w:t>
            </w:r>
          </w:p>
        </w:tc>
        <w:tc>
          <w:tcPr>
            <w:tcW w:w="2180" w:type="dxa"/>
            <w:gridSpan w:val="2"/>
            <w:tcBorders>
              <w:top w:val="single" w:color="auto" w:sz="4" w:space="0"/>
              <w:left w:val="nil"/>
              <w:bottom w:val="single" w:color="auto" w:sz="4" w:space="0"/>
              <w:right w:val="single" w:color="auto" w:sz="4" w:space="0"/>
            </w:tcBorders>
          </w:tcPr>
          <w:p>
            <w:pPr>
              <w:spacing w:line="540" w:lineRule="exact"/>
              <w:ind w:firstLine="320"/>
              <w:jc w:val="left"/>
              <w:rPr>
                <w:rFonts w:ascii="楷体" w:hAnsi="楷体" w:eastAsia="楷体"/>
                <w:sz w:val="28"/>
                <w:szCs w:val="28"/>
              </w:rPr>
            </w:pPr>
            <w:r>
              <w:rPr>
                <w:rFonts w:hint="eastAsia" w:ascii="楷体" w:hAnsi="楷体" w:eastAsia="楷体"/>
                <w:sz w:val="28"/>
                <w:szCs w:val="28"/>
              </w:rPr>
              <w:t>刘展艳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项目属性</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w:t>
            </w:r>
            <w:r>
              <w:rPr>
                <w:rFonts w:hint="eastAsia" w:ascii="MS Mincho" w:hAnsi="MS Mincho" w:eastAsia="MS Mincho" w:cs="MS Mincho"/>
                <w:sz w:val="28"/>
                <w:szCs w:val="28"/>
              </w:rPr>
              <w:t>☑</w:t>
            </w:r>
            <w:r>
              <w:rPr>
                <w:rFonts w:hint="eastAsia" w:ascii="楷体" w:hAnsi="楷体" w:eastAsia="楷体" w:cs="楷体"/>
                <w:sz w:val="28"/>
                <w:szCs w:val="28"/>
              </w:rPr>
              <w:t>经常性</w:t>
            </w:r>
            <w:r>
              <w:rPr>
                <w:rFonts w:hint="eastAsia" w:ascii="楷体" w:hAnsi="楷体" w:eastAsia="楷体"/>
                <w:sz w:val="28"/>
                <w:szCs w:val="28"/>
              </w:rPr>
              <w:t xml:space="preserve">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资金分配情况</w:t>
            </w:r>
          </w:p>
        </w:tc>
        <w:tc>
          <w:tcPr>
            <w:tcW w:w="6120"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资金总额及构成</w:t>
            </w:r>
          </w:p>
        </w:tc>
        <w:tc>
          <w:tcPr>
            <w:tcW w:w="6120" w:type="dxa"/>
            <w:gridSpan w:val="6"/>
            <w:tcBorders>
              <w:top w:val="single" w:color="auto" w:sz="4" w:space="0"/>
              <w:left w:val="nil"/>
              <w:bottom w:val="single" w:color="auto" w:sz="4" w:space="0"/>
              <w:right w:val="single" w:color="auto" w:sz="4" w:space="0"/>
            </w:tcBorders>
          </w:tcPr>
          <w:p>
            <w:pPr>
              <w:rPr>
                <w:rFonts w:ascii="楷体" w:hAnsi="楷体" w:eastAsia="楷体"/>
                <w:sz w:val="24"/>
                <w:szCs w:val="24"/>
              </w:rPr>
            </w:pPr>
            <w:r>
              <w:rPr>
                <w:rFonts w:hint="eastAsia" w:ascii="楷体" w:hAnsi="楷体" w:eastAsia="楷体"/>
                <w:sz w:val="24"/>
                <w:szCs w:val="24"/>
              </w:rPr>
              <w:t>总额：  万元，其中：省级财政  万元；市级财政 25 万元；区县  万元；其他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项目起止时间</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  2020年  1月起至2020  年 12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组织管理情况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项目立项依据</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宋体" w:hAnsi="宋体"/>
                <w:color w:val="000000"/>
                <w:kern w:val="0"/>
                <w:sz w:val="28"/>
                <w:szCs w:val="28"/>
              </w:rPr>
              <w:t>依据</w:t>
            </w:r>
            <w:r>
              <w:rPr>
                <w:rFonts w:ascii="仿宋_GB2312" w:hAnsi="宋体" w:cs="宋体"/>
                <w:color w:val="000000"/>
                <w:kern w:val="0"/>
                <w:sz w:val="28"/>
                <w:szCs w:val="28"/>
              </w:rPr>
              <w:t>《中华人民共和国公共文化</w:t>
            </w:r>
            <w:r>
              <w:rPr>
                <w:rFonts w:hint="eastAsia" w:ascii="仿宋_GB2312" w:hAnsi="宋体" w:cs="宋体"/>
                <w:color w:val="000000"/>
                <w:kern w:val="0"/>
                <w:sz w:val="28"/>
                <w:szCs w:val="28"/>
                <w:lang w:val="en-US" w:eastAsia="zh-CN"/>
              </w:rPr>
              <w:t>服务</w:t>
            </w:r>
            <w:bookmarkStart w:id="0" w:name="_GoBack"/>
            <w:bookmarkEnd w:id="0"/>
            <w:r>
              <w:rPr>
                <w:rFonts w:ascii="仿宋_GB2312" w:hAnsi="宋体" w:cs="宋体"/>
                <w:color w:val="000000"/>
                <w:kern w:val="0"/>
                <w:sz w:val="28"/>
                <w:szCs w:val="28"/>
              </w:rPr>
              <w:t>保障法》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可行性研究     报告结论</w:t>
            </w:r>
          </w:p>
        </w:tc>
        <w:tc>
          <w:tcPr>
            <w:tcW w:w="6120" w:type="dxa"/>
            <w:gridSpan w:val="6"/>
            <w:tcBorders>
              <w:top w:val="single" w:color="auto" w:sz="4" w:space="0"/>
              <w:left w:val="nil"/>
              <w:bottom w:val="single" w:color="auto" w:sz="4" w:space="0"/>
              <w:right w:val="single" w:color="auto" w:sz="4" w:space="0"/>
            </w:tcBorders>
          </w:tcPr>
          <w:p>
            <w:pPr>
              <w:spacing w:line="360" w:lineRule="auto"/>
              <w:rPr>
                <w:rFonts w:ascii="楷体" w:hAnsi="楷体" w:eastAsia="楷体"/>
                <w:sz w:val="24"/>
                <w:szCs w:val="24"/>
              </w:rPr>
            </w:pPr>
            <w:r>
              <w:rPr>
                <w:rFonts w:hint="eastAsia" w:ascii="楷体" w:hAnsi="楷体" w:eastAsia="楷体"/>
                <w:sz w:val="24"/>
                <w:szCs w:val="24"/>
              </w:rPr>
              <w:t>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专家评审论证结论</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4"/>
                <w:szCs w:val="24"/>
              </w:rPr>
              <w:t>经市政府研究同意免费开放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w:t>
            </w:r>
          </w:p>
          <w:p>
            <w:pPr>
              <w:spacing w:line="360" w:lineRule="exact"/>
              <w:jc w:val="center"/>
              <w:rPr>
                <w:rFonts w:ascii="楷体" w:hAnsi="楷体" w:eastAsia="楷体"/>
                <w:sz w:val="28"/>
                <w:szCs w:val="28"/>
              </w:rPr>
            </w:pPr>
            <w:r>
              <w:rPr>
                <w:rFonts w:hint="eastAsia" w:ascii="楷体" w:hAnsi="楷体" w:eastAsia="楷体"/>
                <w:sz w:val="28"/>
                <w:szCs w:val="28"/>
              </w:rPr>
              <w:t>及采购金额</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MS Mincho" w:hAnsi="MS Mincho" w:eastAsia="MS Mincho" w:cs="MS Mincho"/>
                <w:sz w:val="28"/>
                <w:szCs w:val="28"/>
              </w:rPr>
              <w:t>☑</w:t>
            </w:r>
            <w:r>
              <w:rPr>
                <w:rFonts w:hint="eastAsia" w:ascii="楷体" w:hAnsi="楷体" w:eastAsia="楷体" w:cs="楷体"/>
                <w:sz w:val="28"/>
                <w:szCs w:val="28"/>
              </w:rPr>
              <w:t>否</w:t>
            </w:r>
            <w:r>
              <w:rPr>
                <w:rFonts w:hint="eastAsia" w:ascii="楷体" w:hAnsi="楷体" w:eastAsia="楷体"/>
                <w:sz w:val="28"/>
                <w:szCs w:val="28"/>
              </w:rPr>
              <w:t xml:space="preserve">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是否实行招投标</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4"/>
                <w:szCs w:val="24"/>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MS Mincho" w:hAnsi="MS Mincho" w:eastAsia="MS Mincho" w:cs="MS Mincho"/>
                <w:sz w:val="24"/>
                <w:szCs w:val="24"/>
              </w:rPr>
              <w:t>☑</w:t>
            </w:r>
            <w:r>
              <w:rPr>
                <w:rFonts w:hint="eastAsia" w:ascii="楷体" w:hAnsi="楷体" w:eastAsia="楷体"/>
                <w:sz w:val="24"/>
                <w:szCs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是否实行工程代理制和投资评审制</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是否实行合同   管理制</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MS Mincho" w:hAnsi="MS Mincho" w:eastAsia="MS Mincho" w:cs="MS Mincho"/>
                <w:sz w:val="24"/>
                <w:szCs w:val="24"/>
              </w:rPr>
              <w:t>☑</w:t>
            </w:r>
            <w:r>
              <w:rPr>
                <w:rFonts w:hint="eastAsia" w:ascii="楷体" w:hAnsi="楷体" w:eastAsia="楷体"/>
                <w:sz w:val="24"/>
                <w:szCs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管理情况</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8"/>
                <w:szCs w:val="28"/>
              </w:rPr>
            </w:pPr>
            <w:r>
              <w:rPr>
                <w:rFonts w:hint="eastAsia" w:ascii="楷体" w:hAnsi="楷体" w:eastAsia="楷体"/>
                <w:sz w:val="24"/>
                <w:szCs w:val="24"/>
              </w:rPr>
              <w:t xml:space="preserve">□是  实行的   个项目  </w:t>
            </w:r>
            <w:r>
              <w:rPr>
                <w:rFonts w:hint="eastAsia" w:ascii="MS Mincho" w:hAnsi="MS Mincho" w:eastAsia="MS Mincho" w:cs="MS Mincho"/>
                <w:sz w:val="24"/>
                <w:szCs w:val="24"/>
              </w:rPr>
              <w:t>☑</w:t>
            </w:r>
            <w:r>
              <w:rPr>
                <w:rFonts w:hint="eastAsia" w:ascii="楷体" w:hAnsi="楷体" w:eastAsia="楷体" w:cs="楷体"/>
                <w:sz w:val="24"/>
                <w:szCs w:val="24"/>
              </w:rPr>
              <w:t>否</w:t>
            </w:r>
            <w:r>
              <w:rPr>
                <w:rFonts w:hint="eastAsia" w:ascii="楷体" w:hAnsi="楷体" w:eastAsia="楷体"/>
                <w:sz w:val="24"/>
                <w:szCs w:val="24"/>
              </w:rPr>
              <w:t xml:space="preserve">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rPr>
                <w:rFonts w:ascii="楷体" w:hAnsi="楷体" w:eastAsia="楷体"/>
                <w:sz w:val="28"/>
                <w:szCs w:val="28"/>
              </w:rPr>
            </w:pPr>
            <w:r>
              <w:rPr>
                <w:rFonts w:hint="eastAsia" w:ascii="楷体" w:hAnsi="楷体" w:eastAsia="楷体"/>
                <w:sz w:val="28"/>
                <w:szCs w:val="28"/>
              </w:rPr>
              <w:t>项目监管情况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管理制度和     办法名称</w:t>
            </w:r>
          </w:p>
        </w:tc>
        <w:tc>
          <w:tcPr>
            <w:tcW w:w="6120" w:type="dxa"/>
            <w:gridSpan w:val="6"/>
            <w:tcBorders>
              <w:top w:val="single" w:color="auto" w:sz="4" w:space="0"/>
              <w:left w:val="nil"/>
              <w:bottom w:val="single" w:color="auto" w:sz="4" w:space="0"/>
              <w:right w:val="single" w:color="auto" w:sz="4" w:space="0"/>
            </w:tcBorders>
          </w:tcPr>
          <w:p>
            <w:pPr>
              <w:spacing w:line="360" w:lineRule="exact"/>
              <w:ind w:left="80" w:leftChars="38"/>
              <w:jc w:val="left"/>
              <w:rPr>
                <w:rFonts w:ascii="楷体" w:hAnsi="楷体" w:eastAsia="楷体"/>
                <w:sz w:val="24"/>
                <w:szCs w:val="24"/>
              </w:rPr>
            </w:pPr>
            <w:r>
              <w:rPr>
                <w:rFonts w:hint="eastAsia" w:ascii="楷体" w:hAnsi="楷体" w:eastAsia="楷体"/>
                <w:sz w:val="24"/>
                <w:szCs w:val="24"/>
              </w:rPr>
              <w:t>根据美术馆专项资金管理制度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具体工作措施</w:t>
            </w:r>
          </w:p>
        </w:tc>
        <w:tc>
          <w:tcPr>
            <w:tcW w:w="6120"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4"/>
                <w:szCs w:val="24"/>
              </w:rPr>
            </w:pPr>
            <w:r>
              <w:rPr>
                <w:rFonts w:hint="eastAsia" w:ascii="楷体" w:hAnsi="楷体" w:eastAsia="楷体"/>
                <w:sz w:val="24"/>
                <w:szCs w:val="24"/>
              </w:rPr>
              <w:t>美术馆常规展，主题展览，常年免费开放，</w:t>
            </w:r>
          </w:p>
          <w:p>
            <w:pPr>
              <w:spacing w:line="560" w:lineRule="exact"/>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8"/>
                <w:szCs w:val="28"/>
              </w:rPr>
              <w:t>如有调整，需向主管部门提出书面申请，由文旅局主管领导批准。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项目完工验收情况</w:t>
            </w:r>
          </w:p>
        </w:tc>
        <w:tc>
          <w:tcPr>
            <w:tcW w:w="6120" w:type="dxa"/>
            <w:gridSpan w:val="6"/>
            <w:tcBorders>
              <w:top w:val="single" w:color="auto" w:sz="4" w:space="0"/>
              <w:left w:val="nil"/>
              <w:bottom w:val="single" w:color="auto" w:sz="4" w:space="0"/>
              <w:right w:val="single" w:color="auto" w:sz="4" w:space="0"/>
            </w:tcBorders>
            <w:vAlign w:val="center"/>
          </w:tcPr>
          <w:p>
            <w:pPr>
              <w:spacing w:line="360" w:lineRule="exact"/>
              <w:rPr>
                <w:rFonts w:ascii="楷体" w:hAnsi="楷体" w:eastAsia="楷体"/>
                <w:sz w:val="24"/>
                <w:szCs w:val="24"/>
              </w:rPr>
            </w:pPr>
            <w:r>
              <w:rPr>
                <w:rFonts w:hint="eastAsia" w:ascii="楷体" w:hAnsi="楷体" w:eastAsia="楷体"/>
                <w:sz w:val="24"/>
                <w:szCs w:val="24"/>
              </w:rPr>
              <w:t>实行免费开放，面向社会各阶层，充分发挥美术馆公益性单位的作用，深受社会大众的欢迎。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项目监督检查情况</w:t>
            </w:r>
          </w:p>
        </w:tc>
        <w:tc>
          <w:tcPr>
            <w:tcW w:w="6120"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4"/>
                <w:szCs w:val="24"/>
              </w:rPr>
            </w:pPr>
            <w:r>
              <w:rPr>
                <w:rFonts w:hint="eastAsia" w:ascii="楷体" w:hAnsi="楷体" w:eastAsia="楷体"/>
                <w:sz w:val="24"/>
                <w:szCs w:val="24"/>
              </w:rPr>
              <w:t>绩效评价领导小组检查各项支出项目，收集整理支出相关资料，随时检查支出的必要性和有效性、合理性。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资金使用管理</w:t>
            </w:r>
          </w:p>
        </w:tc>
        <w:tc>
          <w:tcPr>
            <w:tcW w:w="6120" w:type="dxa"/>
            <w:gridSpan w:val="6"/>
            <w:tcBorders>
              <w:top w:val="single" w:color="auto" w:sz="4" w:space="0"/>
              <w:left w:val="nil"/>
              <w:bottom w:val="single" w:color="auto" w:sz="4" w:space="0"/>
              <w:right w:val="single" w:color="auto" w:sz="4" w:space="0"/>
            </w:tcBorders>
            <w:vAlign w:val="center"/>
          </w:tcPr>
          <w:p>
            <w:pPr>
              <w:jc w:val="left"/>
              <w:rPr>
                <w:rFonts w:ascii="楷体" w:hAnsi="楷体" w:eastAsia="楷体"/>
                <w:sz w:val="24"/>
                <w:szCs w:val="24"/>
              </w:rPr>
            </w:pPr>
            <w:r>
              <w:rPr>
                <w:rFonts w:hint="eastAsia" w:ascii="楷体" w:hAnsi="楷体" w:eastAsia="楷体"/>
                <w:sz w:val="24"/>
                <w:szCs w:val="24"/>
              </w:rPr>
              <w:t>没有虚列支出、无截留挤占挪用，无超标准开支、无超预算等情况。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财务管理制度</w:t>
            </w:r>
          </w:p>
        </w:tc>
        <w:tc>
          <w:tcPr>
            <w:tcW w:w="6120" w:type="dxa"/>
            <w:gridSpan w:val="6"/>
            <w:tcBorders>
              <w:top w:val="single" w:color="auto" w:sz="4" w:space="0"/>
              <w:left w:val="nil"/>
              <w:bottom w:val="single" w:color="auto" w:sz="4" w:space="0"/>
              <w:right w:val="single" w:color="auto" w:sz="4" w:space="0"/>
            </w:tcBorders>
            <w:vAlign w:val="center"/>
          </w:tcPr>
          <w:p>
            <w:pPr>
              <w:spacing w:line="560" w:lineRule="exact"/>
              <w:rPr>
                <w:rFonts w:ascii="楷体" w:hAnsi="楷体" w:eastAsia="楷体"/>
                <w:sz w:val="24"/>
                <w:szCs w:val="24"/>
              </w:rPr>
            </w:pPr>
            <w:r>
              <w:rPr>
                <w:rFonts w:hint="eastAsia" w:ascii="楷体" w:hAnsi="楷体" w:eastAsia="楷体"/>
                <w:sz w:val="24"/>
                <w:szCs w:val="24"/>
              </w:rPr>
              <w:t>美术馆财务管理制度、合同管理制度、收支业务管理制度、财务会审制度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ind w:left="113" w:right="113" w:firstLine="840" w:firstLineChars="300"/>
              <w:rPr>
                <w:rFonts w:ascii="楷体" w:hAnsi="楷体" w:eastAsia="楷体"/>
                <w:sz w:val="28"/>
                <w:szCs w:val="28"/>
              </w:rPr>
            </w:pPr>
            <w:r>
              <w:rPr>
                <w:rFonts w:hint="eastAsia" w:ascii="楷体" w:hAnsi="楷体" w:eastAsia="楷体"/>
                <w:sz w:val="28"/>
                <w:szCs w:val="28"/>
              </w:rPr>
              <w:t>资金安排使用情况</w:t>
            </w: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44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应到位资金（万元）</w:t>
            </w:r>
          </w:p>
        </w:tc>
        <w:tc>
          <w:tcPr>
            <w:tcW w:w="193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380" w:type="dxa"/>
            <w:gridSpan w:val="2"/>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实际支出（万元）</w:t>
            </w:r>
          </w:p>
        </w:tc>
        <w:tc>
          <w:tcPr>
            <w:tcW w:w="137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中央财政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省级财政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市级财政</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50</w:t>
            </w: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县（市区）资金</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其他配套资金</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52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合  计</w:t>
            </w:r>
          </w:p>
        </w:tc>
        <w:tc>
          <w:tcPr>
            <w:tcW w:w="144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9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8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c>
          <w:tcPr>
            <w:tcW w:w="137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2020年度美术馆共开展了“馆藏精品展”、大型“抗疫摄影展”、“抗疫书画作品展”，“艺术扶贫书画作品展”以及常规展览，公益性讲座等，提升广大人民群众的文化底蕴，让全市人民精神文化生活得以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613" w:type="dxa"/>
            <w:gridSpan w:val="7"/>
            <w:tcBorders>
              <w:top w:val="single" w:color="auto" w:sz="4" w:space="0"/>
              <w:left w:val="nil"/>
              <w:bottom w:val="single" w:color="auto" w:sz="4" w:space="0"/>
              <w:right w:val="single" w:color="auto" w:sz="4" w:space="0"/>
            </w:tcBorders>
          </w:tcPr>
          <w:p>
            <w:pPr>
              <w:ind w:firstLine="300" w:firstLineChars="100"/>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长期为广大人民群众提供优质的免费书画展览服务，充分发挥展览、收藏与公共文化推广的功能，让全市人民更加深入了解邵阳，热爱邵阳，精神文化生活得到充分的满足。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613" w:type="dxa"/>
            <w:gridSpan w:val="7"/>
            <w:tcBorders>
              <w:top w:val="single" w:color="auto" w:sz="4" w:space="0"/>
              <w:left w:val="nil"/>
              <w:bottom w:val="single" w:color="auto" w:sz="4" w:space="0"/>
              <w:right w:val="single" w:color="auto" w:sz="4" w:space="0"/>
            </w:tcBorders>
          </w:tcPr>
          <w:p>
            <w:pPr>
              <w:ind w:firstLine="300" w:firstLineChars="100"/>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有效。根据资金的使用情况、项目的组织管理、产出成果及效益进行综合分析作出的评价结论，美术馆免费开放、正常运营经费的使用绩效自评是“有效”。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资金分配原则程序和方法</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p>
          <w:p>
            <w:pPr>
              <w:rPr>
                <w:rFonts w:ascii="楷体" w:hAnsi="楷体" w:eastAsia="楷体"/>
                <w:sz w:val="30"/>
                <w:szCs w:val="30"/>
              </w:rPr>
            </w:pPr>
            <w:r>
              <w:rPr>
                <w:rFonts w:hint="eastAsia" w:ascii="楷体" w:hAnsi="楷体" w:eastAsia="楷体"/>
                <w:sz w:val="30"/>
                <w:szCs w:val="30"/>
              </w:rPr>
              <w:t>　 为了推广美术馆的公益一类单位的作用，共举办了几场大型的书画、摄影作品展，每个活动都按正常流程签订合同，按时验收呢，由主管领导签字审批。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评价工作情况</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sz w:val="30"/>
                <w:szCs w:val="30"/>
              </w:rPr>
            </w:pPr>
            <w:r>
              <w:rPr>
                <w:rFonts w:hint="eastAsia" w:ascii="楷体" w:hAnsi="楷体" w:eastAsia="楷体"/>
                <w:sz w:val="30"/>
                <w:szCs w:val="30"/>
              </w:rPr>
              <w:t>　</w:t>
            </w:r>
          </w:p>
          <w:p>
            <w:pPr>
              <w:rPr>
                <w:rFonts w:ascii="楷体" w:hAnsi="楷体" w:eastAsia="楷体"/>
                <w:sz w:val="30"/>
                <w:szCs w:val="30"/>
              </w:rPr>
            </w:pPr>
            <w:r>
              <w:rPr>
                <w:rFonts w:hint="eastAsia" w:ascii="宋体" w:hAnsi="宋体" w:cs="宋体"/>
                <w:sz w:val="30"/>
                <w:szCs w:val="30"/>
              </w:rPr>
              <w:t> </w:t>
            </w:r>
            <w:r>
              <w:rPr>
                <w:rFonts w:hint="eastAsia" w:ascii="楷体" w:hAnsi="楷体" w:eastAsia="楷体"/>
                <w:sz w:val="30"/>
                <w:szCs w:val="30"/>
              </w:rPr>
              <w:t>根据《中共湖南省委办公厅 湖南省人民政府办公厅关于全面实施预算绩效管理的实施意见》，我馆按照市委市政府以及主管局的绩效考核要求成立了绩效考核管理小组，单位召开专题会议，认真的传达了上级的意见，组织开展全单位进行系统的绩效评价工作，收集整理相关资料，分析支出的必要性和有效性，并在此基础上提出更合理的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613" w:type="dxa"/>
            <w:gridSpan w:val="7"/>
            <w:tcBorders>
              <w:top w:val="single" w:color="auto" w:sz="4" w:space="0"/>
              <w:left w:val="nil"/>
              <w:bottom w:val="single" w:color="auto" w:sz="4" w:space="0"/>
              <w:right w:val="single" w:color="auto" w:sz="4" w:space="0"/>
            </w:tcBorders>
          </w:tcPr>
          <w:p>
            <w:pPr>
              <w:rPr>
                <w:rFonts w:ascii="楷体" w:hAnsi="楷体" w:eastAsia="楷体"/>
              </w:rPr>
            </w:pPr>
            <w:r>
              <w:rPr>
                <w:rFonts w:hint="eastAsia" w:ascii="楷体" w:hAnsi="楷体" w:eastAsia="楷体"/>
              </w:rPr>
              <w:t>　</w:t>
            </w:r>
          </w:p>
          <w:p>
            <w:pPr>
              <w:rPr>
                <w:rFonts w:ascii="楷体" w:hAnsi="楷体" w:eastAsia="楷体"/>
                <w:sz w:val="32"/>
                <w:szCs w:val="32"/>
              </w:rPr>
            </w:pPr>
            <w:r>
              <w:rPr>
                <w:rFonts w:hint="eastAsia" w:ascii="楷体" w:hAnsi="楷体" w:eastAsia="楷体"/>
                <w:sz w:val="32"/>
                <w:szCs w:val="32"/>
              </w:rPr>
              <w:t>为了更好的提高公共服务能力，建议财政加大投入力度。</w:t>
            </w:r>
          </w:p>
        </w:tc>
      </w:tr>
    </w:tbl>
    <w:p>
      <w:pPr>
        <w:spacing w:line="480" w:lineRule="exact"/>
        <w:rPr>
          <w:sz w:val="28"/>
          <w:szCs w:val="28"/>
        </w:rPr>
      </w:pPr>
      <w:r>
        <w:rPr>
          <w:rFonts w:hint="eastAsia" w:ascii="仿宋" w:hAnsi="仿宋" w:eastAsia="仿宋"/>
        </w:rPr>
        <w:t>说明：各单位根据文字数量需要调整此表。</w:t>
      </w:r>
    </w:p>
    <w:p>
      <w:pPr>
        <w:spacing w:line="480" w:lineRule="exact"/>
        <w:rPr>
          <w:rFonts w:ascii="楷体" w:hAnsi="楷体" w:eastAsia="楷体"/>
          <w:sz w:val="32"/>
          <w:szCs w:val="32"/>
        </w:rPr>
      </w:pPr>
      <w:r>
        <w:rPr>
          <w:rFonts w:hint="eastAsia" w:ascii="楷体" w:hAnsi="楷体" w:eastAsia="楷体"/>
          <w:sz w:val="32"/>
          <w:szCs w:val="32"/>
        </w:rPr>
        <w:t xml:space="preserve"> </w:t>
      </w:r>
    </w:p>
    <w:p>
      <w:pPr>
        <w:spacing w:line="480" w:lineRule="exact"/>
        <w:rPr>
          <w:rFonts w:ascii="楷体" w:hAnsi="楷体" w:eastAsia="楷体"/>
          <w:sz w:val="32"/>
          <w:szCs w:val="32"/>
        </w:rPr>
      </w:pPr>
      <w:r>
        <w:rPr>
          <w:rFonts w:hint="eastAsia" w:ascii="楷体" w:hAnsi="楷体" w:eastAsia="楷体"/>
          <w:sz w:val="32"/>
          <w:szCs w:val="32"/>
        </w:rPr>
        <w:t xml:space="preserve">单位负责人：   </w:t>
      </w:r>
    </w:p>
    <w:p>
      <w:pPr>
        <w:spacing w:line="480" w:lineRule="exact"/>
        <w:rPr>
          <w:rFonts w:ascii="楷体" w:hAnsi="楷体" w:eastAsia="楷体"/>
          <w:sz w:val="32"/>
          <w:szCs w:val="32"/>
        </w:rPr>
      </w:pPr>
      <w:r>
        <w:rPr>
          <w:rFonts w:hint="eastAsia" w:ascii="楷体" w:hAnsi="楷体" w:eastAsia="楷体"/>
          <w:sz w:val="32"/>
          <w:szCs w:val="32"/>
        </w:rPr>
        <w:t xml:space="preserve">项目支出负责人：   </w:t>
      </w:r>
    </w:p>
    <w:p>
      <w:pPr>
        <w:spacing w:line="480" w:lineRule="exact"/>
        <w:rPr>
          <w:rFonts w:ascii="楷体" w:hAnsi="楷体" w:eastAsia="楷体"/>
          <w:sz w:val="32"/>
          <w:szCs w:val="32"/>
        </w:rPr>
      </w:pPr>
      <w:r>
        <w:rPr>
          <w:rFonts w:hint="eastAsia" w:ascii="楷体" w:hAnsi="楷体" w:eastAsia="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gyMjZhYWNjMGI5ZWMxZGYyOWIwMzYyNzQ0ZmQ0YTUifQ=="/>
  </w:docVars>
  <w:rsids>
    <w:rsidRoot w:val="006E5A44"/>
    <w:rsid w:val="000F5439"/>
    <w:rsid w:val="00331573"/>
    <w:rsid w:val="006E5A44"/>
    <w:rsid w:val="00964172"/>
    <w:rsid w:val="00C70696"/>
    <w:rsid w:val="00C73056"/>
    <w:rsid w:val="00F07228"/>
    <w:rsid w:val="7DA43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1393</Words>
  <Characters>1411</Characters>
  <Lines>12</Lines>
  <Paragraphs>3</Paragraphs>
  <TotalTime>0</TotalTime>
  <ScaleCrop>false</ScaleCrop>
  <LinksUpToDate>false</LinksUpToDate>
  <CharactersWithSpaces>1609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2021-11-02T03:25:00Z</dcterms:created>
  <dc:creator>Administrator</dc:creator>
  <cp:lastModifiedBy>随风而起</cp:lastModifiedBy>
  <cp:lastPrinted>2021-06-29T03:56:00Z</cp:lastPrinted>
  <dcterms:modified xsi:type="dcterms:W3CDTF">2023-08-23T02:44:23Z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D60BF07442F144D885398EBFDE6847F3_12</vt:lpwstr>
  </property>
</Properties>
</file>