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36"/>
          <w:szCs w:val="36"/>
          <w:shd w:val="clear" w:fill="FFFFFF"/>
        </w:rPr>
        <w:t>     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891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56"/>
          <w:szCs w:val="56"/>
          <w:shd w:val="clear" w:fill="FFFFFF"/>
        </w:rPr>
        <w:t>2020年度项目绩效自评报告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Style w:val="3"/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869"/>
        <w:gridCol w:w="1418"/>
        <w:gridCol w:w="401"/>
        <w:gridCol w:w="1176"/>
        <w:gridCol w:w="684"/>
        <w:gridCol w:w="453"/>
        <w:gridCol w:w="1380"/>
        <w:gridCol w:w="976"/>
        <w:gridCol w:w="1082"/>
        <w:gridCol w:w="1082"/>
        <w:gridCol w:w="245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21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项目名称</w:t>
            </w:r>
          </w:p>
        </w:tc>
        <w:tc>
          <w:tcPr>
            <w:tcW w:w="612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反恐经费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项目主要内容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反恐怖工作经费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项目单位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反恐支队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单位负责人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袁伟娜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项目属性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 □经常性  □一次性  □新增  ☑延续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资金总额    及构成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总额：14万元，其中：省级财政  万元；市级财政 14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项目起止时间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2020年1月起至2020年12月止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实施情况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项目立项依据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《中华人民共和国反恐怖主义法》第七十三条、湘办[2017]1号《关于印发〈湖南省反恐怖主义工作责任制实施细则〉的通知》第五条第六款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可行性研究报告结论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国际国内反恐怖斗争形势严峻，我省已成为暴恐分子出入国境的通道和潜伏的洼地，我市紧临广西、云南，反恐防恐任务十分艰巨。发动全市各行各业加强反恐防恐意识，构建防恐堤坝，确保我市绝不发生暴恐案事件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专家评审论证 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应采购金额 万元        实际采购金额   万元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    招投标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是否实行国库     集中支付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☑是                     □否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是否实行工程代理和投资评审制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是否实行合同管理制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R是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是否实行财政专户管理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管理制度    和办法名称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邵阳市公安局内部控制基本制度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具体工作措施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定期开展反恐工作；每年开展6次以上反恐怖宣传、讲座；定期或不定期开展督察等。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项目调整内容及报批程序和手续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项目完工验收情况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验收合格。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资金使用管理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财务管理制度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邵阳市公安局财务内部控制制度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资金到位使用情况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内容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结余资金（万元）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中央财政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省级财政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市级财政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其它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合  计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14万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产出成果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资金控制预算内，专款专用；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每年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6次以上反恐怖宣传、讲座；定期开展反恐工作，每年开展6次以上；定期或不定期开展督查，每年开展4次以上；反恐怖建设，工作需要；反恐怖宣传，使得全民防恐意识大幅提高；反恐怖建设，使技防、物防符合标准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5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产出效益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 对比2019年，在服务全市经济环境、全民反恐防恐意识、服务全市环境上明显提高；使得全市社会政治安定，不发生暴恐案事件；并且使得反恐怖主义宣传与反恐工作的服务对象满意度达到90%以上。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自评结论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有效。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问题与建议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主管部门审核意见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主管部门（盖章）：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单位负责人：  王学武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项目负责人： 袁伟娜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评价负责人：  汪露言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6DC37277"/>
    <w:rsid w:val="0B81366C"/>
    <w:rsid w:val="42262900"/>
    <w:rsid w:val="6DC37277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1077</Words>
  <Characters>1268</Characters>
  <Lines>0</Lines>
  <Paragraphs>0</Paragraphs>
  <TotalTime>4</TotalTime>
  <ScaleCrop>false</ScaleCrop>
  <LinksUpToDate>false</LinksUpToDate>
  <CharactersWithSpaces>1297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随风而起</cp:lastModifiedBy>
  <dcterms:modified xsi:type="dcterms:W3CDTF">2023-08-23T02:47:33Z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56294021CB3E4D5C99DB8EDDD86C8BA1</vt:lpwstr>
  </property>
</Properties>
</file>