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黑体" w:eastAsia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default" w:ascii="黑体" w:hAnsi="黑体" w:eastAsia="黑体" w:cs="黑体"/>
          <w:sz w:val="32"/>
          <w:szCs w:val="32"/>
          <w:lang w:val="en-US"/>
        </w:rPr>
        <w:t>1</w:t>
      </w:r>
      <w:bookmarkStart w:id="0" w:name="_GoBack"/>
      <w:bookmarkEnd w:id="0"/>
      <w:r>
        <w:rPr>
          <w:rFonts w:hint="default" w:ascii="黑体" w:hAnsi="黑体" w:eastAsia="黑体" w:cs="黑体"/>
          <w:sz w:val="32"/>
          <w:szCs w:val="32"/>
          <w:lang w:val="en-US"/>
        </w:rPr>
        <w:t>-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</w:t>
      </w:r>
    </w:p>
    <w:p>
      <w:pPr>
        <w:ind w:firstLine="2399" w:firstLineChars="543"/>
        <w:rPr>
          <w:rFonts w:ascii="黑体" w:eastAsia="黑体"/>
          <w:sz w:val="44"/>
          <w:szCs w:val="44"/>
        </w:rPr>
      </w:pPr>
      <w:r>
        <w:rPr>
          <w:rFonts w:hint="eastAsia" w:ascii="仿宋_GB2312" w:hAnsi="宋体" w:eastAsia="仿宋_GB2312"/>
          <w:b/>
          <w:color w:val="000000"/>
          <w:sz w:val="44"/>
          <w:szCs w:val="28"/>
        </w:rPr>
        <w:t>项目</w:t>
      </w:r>
      <w:r>
        <w:rPr>
          <w:rFonts w:hint="eastAsia" w:ascii="黑体" w:eastAsia="黑体"/>
          <w:sz w:val="44"/>
          <w:szCs w:val="44"/>
        </w:rPr>
        <w:t>绩效自评报告表</w:t>
      </w:r>
    </w:p>
    <w:p>
      <w:pPr>
        <w:jc w:val="left"/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填报单位：邵阳市松坡图书馆　填报日期：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202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</w:t>
      </w:r>
      <w:r>
        <w:rPr>
          <w:rFonts w:hint="eastAsia" w:ascii="楷体" w:hAnsi="楷体" w:eastAsia="楷体" w:cs="楷体"/>
          <w:sz w:val="32"/>
          <w:szCs w:val="32"/>
        </w:rPr>
        <w:t>年</w:t>
      </w:r>
      <w:r>
        <w:rPr>
          <w:rFonts w:hint="default" w:ascii="楷体" w:hAnsi="楷体" w:eastAsia="楷体" w:cs="楷体"/>
          <w:sz w:val="32"/>
          <w:szCs w:val="32"/>
          <w:lang w:val="en-US" w:eastAsia="zh-CN"/>
        </w:rPr>
        <w:t>6</w:t>
      </w:r>
      <w:r>
        <w:rPr>
          <w:rFonts w:hint="eastAsia" w:ascii="楷体" w:hAnsi="楷体" w:eastAsia="楷体" w:cs="楷体"/>
          <w:sz w:val="32"/>
          <w:szCs w:val="32"/>
        </w:rPr>
        <w:t>月</w:t>
      </w:r>
      <w:r>
        <w:rPr>
          <w:rFonts w:hint="default" w:ascii="楷体" w:hAnsi="楷体" w:eastAsia="楷体" w:cs="楷体"/>
          <w:sz w:val="32"/>
          <w:szCs w:val="32"/>
          <w:lang w:val="en-US"/>
        </w:rPr>
        <w:t>25</w:t>
      </w:r>
      <w:r>
        <w:rPr>
          <w:rFonts w:hint="eastAsia" w:ascii="楷体" w:hAnsi="楷体" w:eastAsia="楷体" w:cs="楷体"/>
          <w:sz w:val="32"/>
          <w:szCs w:val="32"/>
        </w:rPr>
        <w:t>日</w:t>
      </w:r>
      <w:r>
        <w:rPr>
          <w:rFonts w:ascii="楷体" w:hAnsi="楷体" w:eastAsia="楷体" w:cs="楷体"/>
          <w:sz w:val="32"/>
          <w:szCs w:val="32"/>
        </w:rPr>
        <w:t xml:space="preserve">   </w:t>
      </w:r>
    </w:p>
    <w:tbl>
      <w:tblPr>
        <w:tblStyle w:val="5"/>
        <w:tblW w:w="10938" w:type="dxa"/>
        <w:tblInd w:w="-10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2143"/>
        <w:gridCol w:w="1796"/>
        <w:gridCol w:w="598"/>
        <w:gridCol w:w="282"/>
        <w:gridCol w:w="744"/>
        <w:gridCol w:w="1950"/>
        <w:gridCol w:w="3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exact"/>
        </w:trPr>
        <w:tc>
          <w:tcPr>
            <w:tcW w:w="425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基本情况</w:t>
            </w: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项目名称</w:t>
            </w:r>
          </w:p>
        </w:tc>
        <w:tc>
          <w:tcPr>
            <w:tcW w:w="8370" w:type="dxa"/>
            <w:gridSpan w:val="6"/>
            <w:vAlign w:val="top"/>
          </w:tcPr>
          <w:p>
            <w:pPr>
              <w:spacing w:line="540" w:lineRule="exact"/>
              <w:jc w:val="center"/>
              <w:rPr>
                <w:rFonts w:hint="default" w:ascii="仿宋" w:hAnsi="仿宋" w:eastAsia="仿宋" w:cs="楷体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楷体"/>
                <w:sz w:val="18"/>
                <w:szCs w:val="18"/>
                <w:lang w:val="en-US" w:eastAsia="zh-CN"/>
              </w:rPr>
              <w:t>展览展出系列活动经费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23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项目主要内容</w:t>
            </w:r>
          </w:p>
        </w:tc>
        <w:tc>
          <w:tcPr>
            <w:tcW w:w="8370" w:type="dxa"/>
            <w:gridSpan w:val="6"/>
            <w:vAlign w:val="center"/>
          </w:tcPr>
          <w:p>
            <w:pPr>
              <w:spacing w:line="540" w:lineRule="exact"/>
              <w:rPr>
                <w:rFonts w:hint="default" w:ascii="仿宋" w:hAnsi="仿宋" w:eastAsia="仿宋" w:cs="楷体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楷体"/>
                <w:sz w:val="18"/>
                <w:szCs w:val="18"/>
                <w:lang w:val="en-US" w:eastAsia="zh-CN"/>
              </w:rPr>
              <w:t>1邵财预〔2019〕027号.</w:t>
            </w:r>
            <w:r>
              <w:rPr>
                <w:rFonts w:hint="eastAsia" w:ascii="仿宋" w:hAnsi="仿宋" w:eastAsia="仿宋" w:cs="楷体"/>
                <w:sz w:val="18"/>
                <w:szCs w:val="18"/>
              </w:rPr>
              <w:t>市美术馆</w:t>
            </w:r>
            <w:r>
              <w:rPr>
                <w:rFonts w:hint="eastAsia" w:ascii="仿宋" w:hAnsi="仿宋" w:eastAsia="仿宋" w:cs="楷体"/>
                <w:sz w:val="18"/>
                <w:szCs w:val="18"/>
                <w:lang w:val="en-US" w:eastAsia="zh-CN"/>
              </w:rPr>
              <w:t xml:space="preserve"> 中华人民共和国成立</w:t>
            </w:r>
            <w:r>
              <w:rPr>
                <w:rFonts w:hint="eastAsia" w:ascii="仿宋" w:hAnsi="仿宋" w:eastAsia="仿宋" w:cs="楷体"/>
                <w:sz w:val="18"/>
                <w:szCs w:val="18"/>
              </w:rPr>
              <w:t>国七十周年书画摄影艺术活动经费</w:t>
            </w:r>
            <w:r>
              <w:rPr>
                <w:rFonts w:hint="eastAsia" w:ascii="仿宋" w:hAnsi="仿宋" w:eastAsia="仿宋" w:cs="楷体"/>
                <w:sz w:val="18"/>
                <w:szCs w:val="18"/>
                <w:lang w:eastAsia="zh-CN"/>
              </w:rPr>
              <w:t>　</w:t>
            </w:r>
            <w:r>
              <w:rPr>
                <w:rFonts w:hint="eastAsia" w:ascii="仿宋" w:hAnsi="仿宋" w:eastAsia="仿宋" w:cs="楷体"/>
                <w:sz w:val="18"/>
                <w:szCs w:val="18"/>
                <w:lang w:val="en-US" w:eastAsia="zh-CN"/>
              </w:rPr>
              <w:t>10万</w:t>
            </w:r>
          </w:p>
          <w:p>
            <w:pPr>
              <w:spacing w:line="540" w:lineRule="exact"/>
              <w:rPr>
                <w:rFonts w:hint="default" w:ascii="仿宋" w:hAnsi="仿宋" w:eastAsia="仿宋" w:cs="楷体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楷体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仿宋" w:hAnsi="仿宋" w:eastAsia="仿宋" w:cs="楷体"/>
                <w:sz w:val="18"/>
                <w:szCs w:val="18"/>
                <w:lang w:eastAsia="zh-CN"/>
              </w:rPr>
              <w:t>邵财预备〔2019〕078号　</w:t>
            </w:r>
            <w:r>
              <w:rPr>
                <w:rFonts w:hint="eastAsia" w:ascii="仿宋" w:hAnsi="仿宋" w:eastAsia="仿宋" w:cs="楷体"/>
                <w:sz w:val="18"/>
                <w:szCs w:val="18"/>
              </w:rPr>
              <w:t>市美术馆著名艺术家傅真忻作品展览及收藏经费</w:t>
            </w:r>
            <w:r>
              <w:rPr>
                <w:rFonts w:hint="eastAsia" w:ascii="仿宋" w:hAnsi="仿宋" w:eastAsia="仿宋" w:cs="楷体"/>
                <w:sz w:val="18"/>
                <w:szCs w:val="18"/>
                <w:lang w:eastAsia="zh-CN"/>
              </w:rPr>
              <w:t>　</w:t>
            </w:r>
            <w:r>
              <w:rPr>
                <w:rFonts w:hint="eastAsia" w:ascii="仿宋" w:hAnsi="仿宋" w:eastAsia="仿宋" w:cs="楷体"/>
                <w:sz w:val="18"/>
                <w:szCs w:val="18"/>
                <w:lang w:val="en-US" w:eastAsia="zh-CN"/>
              </w:rPr>
              <w:t>10万</w:t>
            </w:r>
          </w:p>
          <w:p>
            <w:pPr>
              <w:spacing w:line="540" w:lineRule="exact"/>
              <w:rPr>
                <w:rFonts w:hint="default" w:ascii="仿宋" w:hAnsi="仿宋" w:eastAsia="仿宋" w:cs="楷体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楷体"/>
                <w:sz w:val="18"/>
                <w:szCs w:val="18"/>
                <w:lang w:val="en-US" w:eastAsia="zh-CN"/>
              </w:rPr>
              <w:t>3.</w:t>
            </w:r>
            <w:r>
              <w:rPr>
                <w:rFonts w:hint="eastAsia" w:ascii="仿宋" w:hAnsi="仿宋" w:eastAsia="仿宋" w:cs="楷体"/>
                <w:sz w:val="18"/>
                <w:szCs w:val="18"/>
              </w:rPr>
              <w:t>邵财预备〔2020〕023号</w:t>
            </w:r>
            <w:r>
              <w:rPr>
                <w:rFonts w:hint="eastAsia" w:ascii="仿宋" w:hAnsi="仿宋" w:eastAsia="仿宋" w:cs="楷体"/>
                <w:sz w:val="18"/>
                <w:szCs w:val="18"/>
                <w:lang w:eastAsia="zh-CN"/>
              </w:rPr>
              <w:t>　</w:t>
            </w:r>
            <w:r>
              <w:rPr>
                <w:rFonts w:hint="eastAsia" w:ascii="仿宋" w:hAnsi="仿宋" w:eastAsia="仿宋" w:cs="楷体"/>
                <w:sz w:val="18"/>
                <w:szCs w:val="18"/>
              </w:rPr>
              <w:t>市松坡图书馆大型新春书画展活动经费</w:t>
            </w:r>
            <w:r>
              <w:rPr>
                <w:rFonts w:hint="eastAsia" w:ascii="仿宋" w:hAnsi="仿宋" w:eastAsia="仿宋" w:cs="楷体"/>
                <w:sz w:val="18"/>
                <w:szCs w:val="18"/>
                <w:lang w:eastAsia="zh-CN"/>
              </w:rPr>
              <w:t>　</w:t>
            </w:r>
            <w:r>
              <w:rPr>
                <w:rFonts w:hint="eastAsia" w:ascii="仿宋" w:hAnsi="仿宋" w:eastAsia="仿宋" w:cs="楷体"/>
                <w:sz w:val="18"/>
                <w:szCs w:val="18"/>
                <w:lang w:val="en-US" w:eastAsia="zh-CN"/>
              </w:rPr>
              <w:t>5万</w:t>
            </w:r>
          </w:p>
          <w:p>
            <w:pPr>
              <w:spacing w:line="540" w:lineRule="exact"/>
              <w:jc w:val="both"/>
              <w:rPr>
                <w:rFonts w:hint="default" w:ascii="仿宋" w:hAnsi="仿宋" w:eastAsia="仿宋" w:cs="楷体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 w:cs="楷体"/>
                <w:sz w:val="18"/>
                <w:szCs w:val="18"/>
                <w:lang w:val="en-US" w:eastAsia="zh-CN"/>
              </w:rPr>
              <w:t>4.邵财预结算〔2020〕002号　市松坡图书馆 中华人民共和国成立七十周年阅读活动经费　2万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5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项目单位</w:t>
            </w:r>
          </w:p>
        </w:tc>
        <w:tc>
          <w:tcPr>
            <w:tcW w:w="2394" w:type="dxa"/>
            <w:gridSpan w:val="2"/>
            <w:vAlign w:val="center"/>
          </w:tcPr>
          <w:p>
            <w:pPr>
              <w:spacing w:line="54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松坡图书馆</w:t>
            </w:r>
          </w:p>
        </w:tc>
        <w:tc>
          <w:tcPr>
            <w:tcW w:w="297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主管部门</w:t>
            </w:r>
          </w:p>
        </w:tc>
        <w:tc>
          <w:tcPr>
            <w:tcW w:w="3000" w:type="dxa"/>
            <w:vAlign w:val="center"/>
          </w:tcPr>
          <w:p>
            <w:pPr>
              <w:spacing w:line="54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邵阳市文化旅游广电体育局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8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143" w:type="dxa"/>
            <w:vAlign w:val="center"/>
          </w:tcPr>
          <w:p>
            <w:pPr>
              <w:spacing w:line="54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单位负责人</w:t>
            </w:r>
          </w:p>
        </w:tc>
        <w:tc>
          <w:tcPr>
            <w:tcW w:w="2394" w:type="dxa"/>
            <w:gridSpan w:val="2"/>
            <w:vAlign w:val="center"/>
          </w:tcPr>
          <w:p>
            <w:pPr>
              <w:spacing w:line="540" w:lineRule="exact"/>
              <w:ind w:firstLine="210" w:firstLineChars="100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金国辉</w:t>
            </w:r>
          </w:p>
        </w:tc>
        <w:tc>
          <w:tcPr>
            <w:tcW w:w="2976" w:type="dxa"/>
            <w:gridSpan w:val="3"/>
            <w:vAlign w:val="center"/>
          </w:tcPr>
          <w:p>
            <w:pPr>
              <w:ind w:firstLine="630" w:firstLineChars="300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项目负责人</w:t>
            </w:r>
          </w:p>
        </w:tc>
        <w:tc>
          <w:tcPr>
            <w:tcW w:w="3000" w:type="dxa"/>
            <w:vAlign w:val="center"/>
          </w:tcPr>
          <w:p>
            <w:pPr>
              <w:spacing w:line="54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金国辉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项目属性</w:t>
            </w:r>
          </w:p>
        </w:tc>
        <w:tc>
          <w:tcPr>
            <w:tcW w:w="8370" w:type="dxa"/>
            <w:gridSpan w:val="6"/>
            <w:vAlign w:val="center"/>
          </w:tcPr>
          <w:p>
            <w:pPr>
              <w:spacing w:line="54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□经常性　　□一次性　　</w:t>
            </w:r>
            <w:r>
              <w:rPr>
                <w:rFonts w:hint="eastAsia" w:ascii="仿宋" w:hAnsi="仿宋" w:eastAsia="仿宋" w:cs="楷体"/>
                <w:sz w:val="21"/>
                <w:szCs w:val="21"/>
                <w:lang w:val="en-US" w:eastAsia="zh-CN"/>
              </w:rPr>
              <w:t>□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新增　　</w:t>
            </w:r>
            <w:r>
              <w:rPr>
                <w:rFonts w:hint="eastAsia" w:ascii="仿宋" w:hAnsi="仿宋" w:eastAsia="仿宋" w:cs="楷体"/>
                <w:sz w:val="21"/>
                <w:szCs w:val="21"/>
                <w:lang w:eastAsia="zh-CN"/>
              </w:rPr>
              <w:t>☑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143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资金总额及构成</w:t>
            </w:r>
          </w:p>
        </w:tc>
        <w:tc>
          <w:tcPr>
            <w:tcW w:w="8370" w:type="dxa"/>
            <w:gridSpan w:val="6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总额：　</w:t>
            </w:r>
            <w:r>
              <w:rPr>
                <w:rFonts w:hint="eastAsia" w:ascii="仿宋" w:hAnsi="仿宋" w:eastAsia="仿宋" w:cs="楷体"/>
                <w:sz w:val="21"/>
                <w:szCs w:val="21"/>
                <w:lang w:val="en-US" w:eastAsia="zh-CN"/>
              </w:rPr>
              <w:t>27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　万元，其中：省级财政　</w:t>
            </w:r>
            <w:r>
              <w:rPr>
                <w:rFonts w:hint="default" w:ascii="仿宋" w:hAnsi="仿宋" w:eastAsia="仿宋" w:cs="楷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　万元；市级财政　</w:t>
            </w:r>
            <w:r>
              <w:rPr>
                <w:rFonts w:hint="eastAsia" w:ascii="仿宋" w:hAnsi="仿宋" w:eastAsia="仿宋" w:cs="楷体"/>
                <w:sz w:val="21"/>
                <w:szCs w:val="21"/>
                <w:lang w:val="en-US" w:eastAsia="zh-CN"/>
              </w:rPr>
              <w:t>27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万元；其他　</w:t>
            </w:r>
            <w:r>
              <w:rPr>
                <w:rFonts w:hint="eastAsia" w:ascii="仿宋" w:hAnsi="仿宋" w:eastAsia="仿宋" w:cs="楷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万元</w:t>
            </w: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项目起止时间</w:t>
            </w:r>
          </w:p>
        </w:tc>
        <w:tc>
          <w:tcPr>
            <w:tcW w:w="8370" w:type="dxa"/>
            <w:gridSpan w:val="6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  <w:lang w:eastAsia="zh-CN"/>
              </w:rPr>
              <w:t>20</w:t>
            </w:r>
            <w:r>
              <w:rPr>
                <w:rFonts w:hint="default" w:ascii="仿宋" w:hAnsi="仿宋" w:eastAsia="仿宋" w:cs="楷体"/>
                <w:sz w:val="21"/>
                <w:szCs w:val="21"/>
                <w:lang w:val="en-US" w:eastAsia="zh-CN"/>
              </w:rPr>
              <w:t>19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年</w:t>
            </w:r>
            <w:r>
              <w:rPr>
                <w:rFonts w:ascii="仿宋" w:hAnsi="仿宋" w:eastAsia="仿宋" w:cs="楷体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月起至　</w:t>
            </w:r>
            <w:r>
              <w:rPr>
                <w:rFonts w:hint="eastAsia" w:ascii="仿宋" w:hAnsi="仿宋" w:eastAsia="仿宋" w:cs="楷体"/>
                <w:sz w:val="21"/>
                <w:szCs w:val="21"/>
                <w:lang w:eastAsia="zh-CN"/>
              </w:rPr>
              <w:t>2020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年</w:t>
            </w:r>
            <w:r>
              <w:rPr>
                <w:rFonts w:ascii="仿宋" w:hAnsi="仿宋" w:eastAsia="仿宋" w:cs="楷体"/>
                <w:sz w:val="21"/>
                <w:szCs w:val="21"/>
              </w:rPr>
              <w:t>12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</w:trPr>
        <w:tc>
          <w:tcPr>
            <w:tcW w:w="425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实施情况</w:t>
            </w: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项目立项依据</w:t>
            </w:r>
          </w:p>
        </w:tc>
        <w:tc>
          <w:tcPr>
            <w:tcW w:w="837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  <w:lang w:eastAsia="zh-CN"/>
              </w:rPr>
              <w:t>公益图书馆，全免费对外开放，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营造邵阳书香氛围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楷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143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可行性研究报告结论</w:t>
            </w:r>
          </w:p>
        </w:tc>
        <w:tc>
          <w:tcPr>
            <w:tcW w:w="8370" w:type="dxa"/>
            <w:gridSpan w:val="6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  <w:lang w:eastAsia="zh-CN"/>
              </w:rPr>
              <w:t>　　　　　　　　　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提升市民的学习积极性和建设家乡自信心、自豪感</w:t>
            </w: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3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143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专家评审论证结论</w:t>
            </w:r>
          </w:p>
        </w:tc>
        <w:tc>
          <w:tcPr>
            <w:tcW w:w="8370" w:type="dxa"/>
            <w:gridSpan w:val="6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  <w:lang w:val="en-US" w:eastAsia="zh-CN"/>
              </w:rPr>
              <w:t>可行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143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8370" w:type="dxa"/>
            <w:gridSpan w:val="6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  <w:lang w:eastAsia="zh-CN"/>
              </w:rPr>
              <w:t>☑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是　</w:t>
            </w:r>
            <w:r>
              <w:rPr>
                <w:rFonts w:ascii="仿宋" w:hAnsi="仿宋" w:eastAsia="仿宋" w:cs="楷体"/>
                <w:sz w:val="21"/>
                <w:szCs w:val="21"/>
              </w:rPr>
              <w:t xml:space="preserve">                    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否</w:t>
            </w:r>
            <w:r>
              <w:rPr>
                <w:rFonts w:ascii="仿宋" w:hAnsi="仿宋" w:eastAsia="仿宋" w:cs="楷体"/>
                <w:sz w:val="21"/>
                <w:szCs w:val="21"/>
              </w:rPr>
              <w:t xml:space="preserve">   </w:t>
            </w:r>
            <w:r>
              <w:rPr>
                <w:rFonts w:ascii="仿宋" w:hAnsi="仿宋" w:eastAsia="仿宋" w:cs="楷体"/>
                <w:sz w:val="21"/>
                <w:szCs w:val="21"/>
              </w:rPr>
              <w:br w:type="textWrapping"/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应采购金额</w:t>
            </w:r>
            <w:r>
              <w:rPr>
                <w:rFonts w:ascii="仿宋" w:hAnsi="仿宋" w:eastAsia="仿宋" w:cs="楷体"/>
                <w:sz w:val="21"/>
                <w:szCs w:val="21"/>
              </w:rPr>
              <w:t xml:space="preserve">   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万元</w:t>
            </w:r>
            <w:r>
              <w:rPr>
                <w:rFonts w:ascii="仿宋" w:hAnsi="仿宋" w:eastAsia="仿宋" w:cs="楷体"/>
                <w:sz w:val="21"/>
                <w:szCs w:val="21"/>
              </w:rPr>
              <w:t xml:space="preserve">        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实际采购金额</w:t>
            </w:r>
            <w:r>
              <w:rPr>
                <w:rFonts w:ascii="仿宋" w:hAnsi="仿宋" w:eastAsia="仿宋" w:cs="楷体"/>
                <w:sz w:val="21"/>
                <w:szCs w:val="21"/>
              </w:rPr>
              <w:t xml:space="preserve">   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143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是否实行招投标</w:t>
            </w:r>
          </w:p>
        </w:tc>
        <w:tc>
          <w:tcPr>
            <w:tcW w:w="8370" w:type="dxa"/>
            <w:gridSpan w:val="6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  <w:lang w:eastAsia="zh-CN"/>
              </w:rPr>
              <w:t>☑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是　　</w:t>
            </w:r>
            <w:r>
              <w:rPr>
                <w:rFonts w:ascii="仿宋" w:hAnsi="仿宋" w:eastAsia="仿宋" w:cs="楷体"/>
                <w:sz w:val="21"/>
                <w:szCs w:val="21"/>
              </w:rPr>
              <w:t xml:space="preserve">                  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143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是否实行国库集中支付</w:t>
            </w:r>
          </w:p>
        </w:tc>
        <w:tc>
          <w:tcPr>
            <w:tcW w:w="8370" w:type="dxa"/>
            <w:gridSpan w:val="6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√是　</w:t>
            </w:r>
            <w:r>
              <w:rPr>
                <w:rFonts w:ascii="仿宋" w:hAnsi="仿宋" w:eastAsia="仿宋" w:cs="楷体"/>
                <w:sz w:val="21"/>
                <w:szCs w:val="21"/>
              </w:rPr>
              <w:t xml:space="preserve">                  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143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是否实行工程代理和投资评审制</w:t>
            </w:r>
          </w:p>
        </w:tc>
        <w:tc>
          <w:tcPr>
            <w:tcW w:w="8370" w:type="dxa"/>
            <w:gridSpan w:val="6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是　　</w:t>
            </w:r>
            <w:r>
              <w:rPr>
                <w:rFonts w:ascii="仿宋" w:hAnsi="仿宋" w:eastAsia="仿宋" w:cs="楷体"/>
                <w:sz w:val="21"/>
                <w:szCs w:val="21"/>
              </w:rPr>
              <w:t xml:space="preserve">                  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√否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143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是否实行合同管理制</w:t>
            </w:r>
          </w:p>
        </w:tc>
        <w:tc>
          <w:tcPr>
            <w:tcW w:w="8370" w:type="dxa"/>
            <w:gridSpan w:val="6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√是　　</w:t>
            </w:r>
            <w:r>
              <w:rPr>
                <w:rFonts w:ascii="仿宋" w:hAnsi="仿宋" w:eastAsia="仿宋" w:cs="楷体"/>
                <w:sz w:val="21"/>
                <w:szCs w:val="21"/>
              </w:rPr>
              <w:t xml:space="preserve">                 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□否</w:t>
            </w: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6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143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8370" w:type="dxa"/>
            <w:gridSpan w:val="6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是　　</w:t>
            </w:r>
            <w:r>
              <w:rPr>
                <w:rFonts w:ascii="仿宋" w:hAnsi="仿宋" w:eastAsia="仿宋" w:cs="楷体"/>
                <w:sz w:val="21"/>
                <w:szCs w:val="21"/>
              </w:rPr>
              <w:t xml:space="preserve">                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√否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3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143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是否实行财政专户管理</w:t>
            </w:r>
          </w:p>
        </w:tc>
        <w:tc>
          <w:tcPr>
            <w:tcW w:w="8370" w:type="dxa"/>
            <w:gridSpan w:val="6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是　　</w:t>
            </w:r>
            <w:r>
              <w:rPr>
                <w:rFonts w:ascii="仿宋" w:hAnsi="仿宋" w:eastAsia="仿宋" w:cs="楷体"/>
                <w:sz w:val="21"/>
                <w:szCs w:val="21"/>
              </w:rPr>
              <w:t xml:space="preserve">                 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√否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143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管理制度和办法名称</w:t>
            </w:r>
          </w:p>
        </w:tc>
        <w:tc>
          <w:tcPr>
            <w:tcW w:w="8370" w:type="dxa"/>
            <w:gridSpan w:val="6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《固定资产管理制度》《合同管理制度》《收支业务管理制度》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6" w:hRule="exact"/>
        </w:trPr>
        <w:tc>
          <w:tcPr>
            <w:tcW w:w="425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管理情况</w:t>
            </w:r>
          </w:p>
        </w:tc>
        <w:tc>
          <w:tcPr>
            <w:tcW w:w="2143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具体工作措施</w:t>
            </w:r>
          </w:p>
        </w:tc>
        <w:tc>
          <w:tcPr>
            <w:tcW w:w="8370" w:type="dxa"/>
            <w:gridSpan w:val="6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楷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由活动部组织、策划、负责所有展览展出活动的所有事项，开幕式全员参与，活动结束后总结会议</w:t>
            </w:r>
            <w:r>
              <w:rPr>
                <w:rFonts w:hint="eastAsia" w:ascii="仿宋" w:hAnsi="仿宋" w:eastAsia="仿宋" w:cs="楷体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9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143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项目调整内容及报批程序和手续</w:t>
            </w:r>
          </w:p>
        </w:tc>
        <w:tc>
          <w:tcPr>
            <w:tcW w:w="8370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项目无调整，资金按预算规定用途使用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1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143" w:type="dxa"/>
            <w:vAlign w:val="center"/>
          </w:tcPr>
          <w:p>
            <w:pPr>
              <w:spacing w:line="240" w:lineRule="atLeast"/>
              <w:ind w:firstLine="315" w:firstLineChars="150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项目完工验收情况</w:t>
            </w:r>
          </w:p>
        </w:tc>
        <w:tc>
          <w:tcPr>
            <w:tcW w:w="8370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验收合格，顾客满意度</w:t>
            </w:r>
            <w:r>
              <w:rPr>
                <w:rFonts w:ascii="仿宋" w:hAnsi="仿宋" w:eastAsia="仿宋" w:cs="楷体"/>
                <w:sz w:val="21"/>
                <w:szCs w:val="21"/>
              </w:rPr>
              <w:t>95%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143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资金使用管理</w:t>
            </w:r>
          </w:p>
        </w:tc>
        <w:tc>
          <w:tcPr>
            <w:tcW w:w="8370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无虚列支出、截留挤占挪用、超标准开支、无超预算等情况。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425" w:type="dxa"/>
            <w:vMerge w:val="restart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资金管理情况</w:t>
            </w:r>
          </w:p>
        </w:tc>
        <w:tc>
          <w:tcPr>
            <w:tcW w:w="2143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财务管理制度</w:t>
            </w:r>
          </w:p>
        </w:tc>
        <w:tc>
          <w:tcPr>
            <w:tcW w:w="8370" w:type="dxa"/>
            <w:gridSpan w:val="6"/>
            <w:vAlign w:val="center"/>
          </w:tcPr>
          <w:p>
            <w:pPr>
              <w:spacing w:line="220" w:lineRule="atLeas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《固定资产管理制度》《合同管理制度》《收支业务管理制度》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143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内容</w:t>
            </w:r>
          </w:p>
        </w:tc>
        <w:tc>
          <w:tcPr>
            <w:tcW w:w="8370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应到位资金（万元）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45" w:hRule="exact"/>
        </w:trPr>
        <w:tc>
          <w:tcPr>
            <w:tcW w:w="425" w:type="dxa"/>
            <w:vMerge w:val="restart"/>
            <w:textDirection w:val="tbRlV"/>
            <w:vAlign w:val="center"/>
          </w:tcPr>
          <w:p>
            <w:pPr>
              <w:spacing w:line="500" w:lineRule="exact"/>
              <w:ind w:left="113" w:right="113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资金安排使用情况</w:t>
            </w:r>
          </w:p>
        </w:tc>
        <w:tc>
          <w:tcPr>
            <w:tcW w:w="2143" w:type="dxa"/>
            <w:vAlign w:val="center"/>
          </w:tcPr>
          <w:p>
            <w:pPr>
              <w:ind w:firstLine="525" w:firstLineChars="250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中央财政</w:t>
            </w:r>
          </w:p>
        </w:tc>
        <w:tc>
          <w:tcPr>
            <w:tcW w:w="1796" w:type="dxa"/>
            <w:vAlign w:val="center"/>
          </w:tcPr>
          <w:p>
            <w:pPr>
              <w:tabs>
                <w:tab w:val="left" w:pos="330"/>
              </w:tabs>
              <w:ind w:firstLine="210" w:firstLineChars="100"/>
              <w:jc w:val="left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应到位资金（万元）</w:t>
            </w:r>
          </w:p>
        </w:tc>
        <w:tc>
          <w:tcPr>
            <w:tcW w:w="88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实际到位资金（万元）</w:t>
            </w:r>
          </w:p>
        </w:tc>
        <w:tc>
          <w:tcPr>
            <w:tcW w:w="744" w:type="dxa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实际支出（万元）</w:t>
            </w:r>
          </w:p>
        </w:tc>
        <w:tc>
          <w:tcPr>
            <w:tcW w:w="495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省级财政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default" w:ascii="仿宋" w:hAnsi="仿宋" w:eastAsia="仿宋" w:cs="楷体"/>
                <w:sz w:val="21"/>
                <w:szCs w:val="21"/>
                <w:lang w:val="en-US" w:eastAsia="zh-CN"/>
              </w:rPr>
            </w:pPr>
          </w:p>
        </w:tc>
        <w:tc>
          <w:tcPr>
            <w:tcW w:w="880" w:type="dxa"/>
            <w:gridSpan w:val="2"/>
            <w:vAlign w:val="center"/>
          </w:tcPr>
          <w:p>
            <w:pPr>
              <w:jc w:val="center"/>
              <w:rPr>
                <w:rFonts w:hint="default" w:ascii="仿宋" w:hAnsi="仿宋" w:eastAsia="仿宋" w:cs="楷体"/>
                <w:sz w:val="21"/>
                <w:szCs w:val="21"/>
                <w:lang w:val="en-US" w:eastAsia="zh-CN"/>
              </w:rPr>
            </w:pPr>
          </w:p>
        </w:tc>
        <w:tc>
          <w:tcPr>
            <w:tcW w:w="744" w:type="dxa"/>
            <w:vAlign w:val="center"/>
          </w:tcPr>
          <w:p>
            <w:pPr>
              <w:jc w:val="center"/>
              <w:rPr>
                <w:rFonts w:hint="default" w:ascii="仿宋" w:hAnsi="仿宋" w:eastAsia="仿宋" w:cs="楷体"/>
                <w:sz w:val="21"/>
                <w:szCs w:val="21"/>
                <w:lang w:val="en-US" w:eastAsia="zh-CN"/>
              </w:rPr>
            </w:pPr>
          </w:p>
        </w:tc>
        <w:tc>
          <w:tcPr>
            <w:tcW w:w="495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市级财政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default" w:ascii="仿宋" w:hAnsi="仿宋" w:eastAsia="仿宋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880" w:type="dxa"/>
            <w:gridSpan w:val="2"/>
            <w:vAlign w:val="center"/>
          </w:tcPr>
          <w:p>
            <w:pPr>
              <w:jc w:val="center"/>
              <w:rPr>
                <w:rFonts w:hint="default" w:ascii="仿宋" w:hAnsi="仿宋" w:eastAsia="仿宋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744" w:type="dxa"/>
            <w:vAlign w:val="center"/>
          </w:tcPr>
          <w:p>
            <w:pPr>
              <w:jc w:val="center"/>
              <w:rPr>
                <w:rFonts w:hint="default" w:ascii="仿宋" w:hAnsi="仿宋" w:eastAsia="仿宋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495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其它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88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744" w:type="dxa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495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合　　计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default" w:ascii="仿宋" w:hAnsi="仿宋" w:eastAsia="仿宋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880" w:type="dxa"/>
            <w:gridSpan w:val="2"/>
            <w:vAlign w:val="center"/>
          </w:tcPr>
          <w:p>
            <w:pPr>
              <w:jc w:val="center"/>
              <w:rPr>
                <w:rFonts w:hint="default" w:ascii="仿宋" w:hAnsi="仿宋" w:eastAsia="仿宋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744" w:type="dxa"/>
            <w:vAlign w:val="center"/>
          </w:tcPr>
          <w:p>
            <w:pPr>
              <w:jc w:val="center"/>
              <w:rPr>
                <w:rFonts w:hint="default" w:ascii="仿宋" w:hAnsi="仿宋" w:eastAsia="仿宋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495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42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产出成果</w:t>
            </w:r>
          </w:p>
        </w:tc>
        <w:tc>
          <w:tcPr>
            <w:tcW w:w="10513" w:type="dxa"/>
            <w:gridSpan w:val="7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数量指标：装裱和展出邵阳籍艺术家书画摄影作品200幅，接待参观人数1300多人；装裱和展出傅真忻老师专作80幅，接待参观人数800多；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“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书香邵阳　全民阅读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”书法作品展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动参与人数600人；“松坡讲文坛”接待听讲人数500多人，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质量指标：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确保活动圆满完成，无安全事故发生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时效指标：财政拨款及时到位，按年初计划进度按时完成各项活动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成本指标：按计划没有超出预算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2" w:hRule="atLeast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产出效益</w:t>
            </w:r>
          </w:p>
        </w:tc>
        <w:tc>
          <w:tcPr>
            <w:tcW w:w="105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/>
              <w:textAlignment w:val="auto"/>
              <w:rPr>
                <w:rFonts w:hint="eastAsia" w:ascii="楷体" w:hAnsi="楷体" w:eastAsia="楷体" w:cs="楷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18"/>
                <w:szCs w:val="18"/>
                <w:lang w:val="en-US" w:eastAsia="zh-CN"/>
              </w:rPr>
              <w:t>经济效益：资</w:t>
            </w:r>
            <w:r>
              <w:rPr>
                <w:rFonts w:hint="eastAsia" w:ascii="楷体" w:hAnsi="楷体" w:eastAsia="楷体" w:cs="楷体"/>
                <w:b w:val="0"/>
                <w:bCs w:val="0"/>
                <w:sz w:val="18"/>
                <w:szCs w:val="18"/>
              </w:rPr>
              <w:t>金都用于公益性文化服务，不产生经济效益。</w:t>
            </w:r>
          </w:p>
          <w:p>
            <w:pPr>
              <w:pStyle w:val="1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/>
              <w:textAlignment w:val="auto"/>
              <w:rPr>
                <w:rFonts w:hint="eastAsia" w:ascii="楷体" w:hAnsi="楷体" w:eastAsia="楷体" w:cs="楷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18"/>
                <w:szCs w:val="18"/>
              </w:rPr>
              <w:t>社会效益</w:t>
            </w: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18"/>
                <w:szCs w:val="18"/>
                <w:lang w:eastAsia="zh-CN"/>
              </w:rPr>
              <w:t>：</w:t>
            </w:r>
            <w:r>
              <w:rPr>
                <w:rFonts w:hint="eastAsia" w:ascii="楷体" w:hAnsi="楷体" w:eastAsia="楷体" w:cs="楷体"/>
                <w:b w:val="0"/>
                <w:bCs w:val="0"/>
                <w:sz w:val="18"/>
                <w:szCs w:val="18"/>
                <w:lang w:eastAsia="zh-CN"/>
              </w:rPr>
              <w:t>开展各种形式的展览活动，</w:t>
            </w:r>
            <w:r>
              <w:rPr>
                <w:rFonts w:hint="eastAsia" w:ascii="楷体" w:hAnsi="楷体" w:eastAsia="楷体" w:cs="楷体"/>
                <w:b w:val="0"/>
                <w:bCs w:val="0"/>
                <w:sz w:val="18"/>
                <w:szCs w:val="18"/>
              </w:rPr>
              <w:t>促进全市精神文明建设，推动全市社会政治、经济、文化、教育和科学的发展</w:t>
            </w:r>
          </w:p>
          <w:p>
            <w:pPr>
              <w:pStyle w:val="1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/>
              <w:textAlignment w:val="auto"/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18"/>
                <w:szCs w:val="18"/>
              </w:rPr>
              <w:t>生态效益</w:t>
            </w: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18"/>
                <w:szCs w:val="18"/>
                <w:lang w:eastAsia="zh-CN"/>
              </w:rPr>
              <w:t>：公</w:t>
            </w:r>
            <w:r>
              <w:rPr>
                <w:rFonts w:hint="eastAsia" w:ascii="楷体" w:hAnsi="楷体" w:eastAsia="楷体" w:cs="楷体"/>
                <w:b w:val="0"/>
                <w:bCs w:val="0"/>
                <w:sz w:val="18"/>
                <w:szCs w:val="18"/>
              </w:rPr>
              <w:t>益性文化服务，不产生生态效益。</w:t>
            </w:r>
          </w:p>
          <w:p>
            <w:pPr>
              <w:pStyle w:val="1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/>
              <w:textAlignment w:val="auto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18"/>
                <w:szCs w:val="18"/>
              </w:rPr>
              <w:t>可持续影响</w:t>
            </w: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18"/>
                <w:szCs w:val="18"/>
                <w:lang w:eastAsia="zh-CN"/>
              </w:rPr>
              <w:t>：</w:t>
            </w:r>
            <w:r>
              <w:rPr>
                <w:rFonts w:hint="eastAsia" w:ascii="楷体" w:hAnsi="楷体" w:eastAsia="楷体" w:cs="楷体"/>
                <w:b w:val="0"/>
                <w:bCs w:val="0"/>
                <w:sz w:val="18"/>
                <w:szCs w:val="18"/>
                <w:lang w:eastAsia="zh-CN"/>
              </w:rPr>
              <w:t>通过举办各种形式的全民阅读活动，从而更多的人走进图书馆，享受国家惠民的好政策，提升市民的学习积极性，营造邵阳书香氛围起到应有的影响力。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自评结论</w:t>
            </w:r>
          </w:p>
        </w:tc>
        <w:tc>
          <w:tcPr>
            <w:tcW w:w="105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有效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问题与建议</w:t>
            </w:r>
          </w:p>
        </w:tc>
        <w:tc>
          <w:tcPr>
            <w:tcW w:w="105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ind w:firstLine="3360" w:firstLineChars="1600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jc w:val="both"/>
              <w:rPr>
                <w:rFonts w:hint="eastAsia" w:ascii="仿宋" w:hAnsi="仿宋" w:eastAsia="仿宋" w:cs="楷体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  <w:lang w:eastAsia="zh-CN"/>
              </w:rPr>
              <w:t>　　　　　　　　　　　　　　　　　　　　　　　无</w:t>
            </w:r>
          </w:p>
          <w:p>
            <w:pPr>
              <w:ind w:firstLine="3360" w:firstLineChars="1600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ind w:firstLine="3360" w:firstLineChars="1600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ind w:firstLine="3360" w:firstLineChars="1600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主管部门审核意见</w:t>
            </w:r>
          </w:p>
        </w:tc>
        <w:tc>
          <w:tcPr>
            <w:tcW w:w="105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3360" w:firstLineChars="1600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ascii="仿宋" w:hAnsi="仿宋" w:eastAsia="仿宋" w:cs="楷体"/>
                <w:sz w:val="21"/>
                <w:szCs w:val="21"/>
              </w:rPr>
              <w:t xml:space="preserve">                                                      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主管部门（盖章）</w:t>
            </w:r>
          </w:p>
        </w:tc>
      </w:tr>
    </w:tbl>
    <w:p>
      <w:pPr>
        <w:spacing w:line="480" w:lineRule="exact"/>
        <w:rPr>
          <w:rFonts w:ascii="微软雅黑" w:hAnsi="微软雅黑" w:eastAsia="微软雅黑" w:cs="楷体"/>
          <w:szCs w:val="21"/>
        </w:rPr>
      </w:pPr>
      <w:r>
        <w:rPr>
          <w:rFonts w:hint="eastAsia" w:ascii="微软雅黑" w:hAnsi="微软雅黑" w:eastAsia="微软雅黑" w:cs="楷体"/>
          <w:szCs w:val="21"/>
        </w:rPr>
        <w:t>单位负责人（签章）：　　　</w:t>
      </w:r>
    </w:p>
    <w:p>
      <w:pPr>
        <w:spacing w:line="480" w:lineRule="exact"/>
        <w:rPr>
          <w:rFonts w:ascii="微软雅黑" w:hAnsi="微软雅黑" w:eastAsia="微软雅黑" w:cs="楷体"/>
          <w:szCs w:val="21"/>
        </w:rPr>
      </w:pPr>
      <w:r>
        <w:rPr>
          <w:rFonts w:hint="eastAsia" w:ascii="微软雅黑" w:hAnsi="微软雅黑" w:eastAsia="微软雅黑" w:cs="楷体"/>
          <w:szCs w:val="21"/>
        </w:rPr>
        <w:t>专项（项目）负责人（签章）：</w:t>
      </w:r>
    </w:p>
    <w:p>
      <w:pPr>
        <w:spacing w:line="480" w:lineRule="exact"/>
        <w:rPr>
          <w:rFonts w:ascii="微软雅黑" w:hAnsi="微软雅黑" w:eastAsia="微软雅黑" w:cs="楷体"/>
          <w:szCs w:val="21"/>
        </w:rPr>
      </w:pPr>
      <w:r>
        <w:rPr>
          <w:rFonts w:hint="eastAsia" w:ascii="微软雅黑" w:hAnsi="微软雅黑" w:eastAsia="微软雅黑" w:cs="楷体"/>
          <w:szCs w:val="21"/>
        </w:rPr>
        <w:t>评价负责人（签章）：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5" w:h="16837"/>
      <w:pgMar w:top="2098" w:right="1361" w:bottom="1985" w:left="1361" w:header="720" w:footer="1701" w:gutter="284"/>
      <w:pgNumType w:start="1"/>
      <w:cols w:space="720" w:num="1"/>
      <w:titlePg/>
      <w:docGrid w:linePitch="636" w:charSpace="2083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rPr>
        <w:rStyle w:val="7"/>
        <w:sz w:val="28"/>
      </w:rPr>
      <w:t>—</w:t>
    </w:r>
    <w:r>
      <w:rPr>
        <w:rStyle w:val="7"/>
        <w:sz w:val="28"/>
      </w:rPr>
      <w:fldChar w:fldCharType="begin"/>
    </w:r>
    <w:r>
      <w:rPr>
        <w:rStyle w:val="7"/>
        <w:sz w:val="28"/>
      </w:rPr>
      <w:instrText xml:space="preserve">PAGE  </w:instrText>
    </w:r>
    <w:r>
      <w:rPr>
        <w:rStyle w:val="7"/>
        <w:sz w:val="28"/>
      </w:rPr>
      <w:fldChar w:fldCharType="separate"/>
    </w:r>
    <w:r>
      <w:rPr>
        <w:rStyle w:val="7"/>
        <w:sz w:val="28"/>
      </w:rPr>
      <w:t>2</w:t>
    </w:r>
    <w:r>
      <w:rPr>
        <w:rStyle w:val="7"/>
        <w:sz w:val="28"/>
      </w:rPr>
      <w:fldChar w:fldCharType="end"/>
    </w:r>
    <w:r>
      <w:rPr>
        <w:rStyle w:val="7"/>
        <w:sz w:val="28"/>
      </w:rPr>
      <w:t>—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3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yMjZhYWNjMGI5ZWMxZGYyOWIwMzYyNzQ0ZmQ0YTUifQ=="/>
  </w:docVars>
  <w:rsids>
    <w:rsidRoot w:val="0089116D"/>
    <w:rsid w:val="00027480"/>
    <w:rsid w:val="00035EA8"/>
    <w:rsid w:val="000B2627"/>
    <w:rsid w:val="000F02B3"/>
    <w:rsid w:val="00163623"/>
    <w:rsid w:val="001B3EB8"/>
    <w:rsid w:val="001C062B"/>
    <w:rsid w:val="001E3678"/>
    <w:rsid w:val="001E4350"/>
    <w:rsid w:val="001F4BEC"/>
    <w:rsid w:val="00203E81"/>
    <w:rsid w:val="002151D1"/>
    <w:rsid w:val="0035705B"/>
    <w:rsid w:val="0037519D"/>
    <w:rsid w:val="00415FA1"/>
    <w:rsid w:val="00423023"/>
    <w:rsid w:val="004C325B"/>
    <w:rsid w:val="005039A1"/>
    <w:rsid w:val="005123E0"/>
    <w:rsid w:val="00521601"/>
    <w:rsid w:val="005230E9"/>
    <w:rsid w:val="00531919"/>
    <w:rsid w:val="00535301"/>
    <w:rsid w:val="005A1C3D"/>
    <w:rsid w:val="005C3152"/>
    <w:rsid w:val="005D01B5"/>
    <w:rsid w:val="005F6B9B"/>
    <w:rsid w:val="00612EBC"/>
    <w:rsid w:val="00682778"/>
    <w:rsid w:val="006C719F"/>
    <w:rsid w:val="006E708E"/>
    <w:rsid w:val="006E7740"/>
    <w:rsid w:val="00751E15"/>
    <w:rsid w:val="007932A1"/>
    <w:rsid w:val="007A7460"/>
    <w:rsid w:val="007D5847"/>
    <w:rsid w:val="007E7EAE"/>
    <w:rsid w:val="007F360A"/>
    <w:rsid w:val="007F72CF"/>
    <w:rsid w:val="00827F35"/>
    <w:rsid w:val="0089116D"/>
    <w:rsid w:val="008A3F74"/>
    <w:rsid w:val="00936256"/>
    <w:rsid w:val="00947F94"/>
    <w:rsid w:val="009619F5"/>
    <w:rsid w:val="00987B06"/>
    <w:rsid w:val="009B1637"/>
    <w:rsid w:val="009C5D04"/>
    <w:rsid w:val="00A12A6C"/>
    <w:rsid w:val="00A72697"/>
    <w:rsid w:val="00A84CE4"/>
    <w:rsid w:val="00A92391"/>
    <w:rsid w:val="00AB6888"/>
    <w:rsid w:val="00AC5BF7"/>
    <w:rsid w:val="00AE08D8"/>
    <w:rsid w:val="00AF3822"/>
    <w:rsid w:val="00B61CC6"/>
    <w:rsid w:val="00B93EA6"/>
    <w:rsid w:val="00BC01BB"/>
    <w:rsid w:val="00C20975"/>
    <w:rsid w:val="00C44F7D"/>
    <w:rsid w:val="00C71E76"/>
    <w:rsid w:val="00C745D1"/>
    <w:rsid w:val="00C954F6"/>
    <w:rsid w:val="00CB2FDB"/>
    <w:rsid w:val="00CF030D"/>
    <w:rsid w:val="00CF606B"/>
    <w:rsid w:val="00D2155D"/>
    <w:rsid w:val="00D31450"/>
    <w:rsid w:val="00D62E03"/>
    <w:rsid w:val="00D67568"/>
    <w:rsid w:val="00D745E1"/>
    <w:rsid w:val="00D87183"/>
    <w:rsid w:val="00DC7753"/>
    <w:rsid w:val="00DD7142"/>
    <w:rsid w:val="00DF1887"/>
    <w:rsid w:val="00E031CC"/>
    <w:rsid w:val="00E12F5D"/>
    <w:rsid w:val="00E2562C"/>
    <w:rsid w:val="00E43173"/>
    <w:rsid w:val="00EA05CD"/>
    <w:rsid w:val="00EB2FFE"/>
    <w:rsid w:val="00F165D8"/>
    <w:rsid w:val="00F716DA"/>
    <w:rsid w:val="00F92FFD"/>
    <w:rsid w:val="00FE363D"/>
    <w:rsid w:val="00FE5303"/>
    <w:rsid w:val="014E4A47"/>
    <w:rsid w:val="01830A50"/>
    <w:rsid w:val="05F62C54"/>
    <w:rsid w:val="128A2CC5"/>
    <w:rsid w:val="142029F3"/>
    <w:rsid w:val="17095C28"/>
    <w:rsid w:val="187B2590"/>
    <w:rsid w:val="1B2836C7"/>
    <w:rsid w:val="1B974734"/>
    <w:rsid w:val="24C54197"/>
    <w:rsid w:val="263D0EF6"/>
    <w:rsid w:val="2F647520"/>
    <w:rsid w:val="315A2B7A"/>
    <w:rsid w:val="324D765A"/>
    <w:rsid w:val="335A1DCA"/>
    <w:rsid w:val="37380670"/>
    <w:rsid w:val="3E166BAF"/>
    <w:rsid w:val="46840584"/>
    <w:rsid w:val="4D884494"/>
    <w:rsid w:val="4DB84CFE"/>
    <w:rsid w:val="516E09E6"/>
    <w:rsid w:val="536B67DC"/>
    <w:rsid w:val="554F3A30"/>
    <w:rsid w:val="55B30A9A"/>
    <w:rsid w:val="56570E32"/>
    <w:rsid w:val="5B9E0121"/>
    <w:rsid w:val="5CD7203C"/>
    <w:rsid w:val="5E19287B"/>
    <w:rsid w:val="5E1C3AC2"/>
    <w:rsid w:val="66343DFA"/>
    <w:rsid w:val="6B35568E"/>
    <w:rsid w:val="6BC73D3E"/>
    <w:rsid w:val="6DAB0670"/>
    <w:rsid w:val="705A49A7"/>
    <w:rsid w:val="746654BE"/>
    <w:rsid w:val="7ECB4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99"/>
    <w:rPr>
      <w:rFonts w:cs="Times New Roman"/>
    </w:rPr>
  </w:style>
  <w:style w:type="character" w:customStyle="1" w:styleId="8">
    <w:name w:val="Balloon Text Char"/>
    <w:basedOn w:val="6"/>
    <w:link w:val="2"/>
    <w:semiHidden/>
    <w:qFormat/>
    <w:locked/>
    <w:uiPriority w:val="99"/>
    <w:rPr>
      <w:rFonts w:cs="Times New Roman"/>
      <w:sz w:val="2"/>
    </w:rPr>
  </w:style>
  <w:style w:type="character" w:customStyle="1" w:styleId="9">
    <w:name w:val="Footer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Header Char"/>
    <w:basedOn w:val="6"/>
    <w:link w:val="4"/>
    <w:qFormat/>
    <w:locked/>
    <w:uiPriority w:val="99"/>
    <w:rPr>
      <w:rFonts w:cs="Times New Roman"/>
      <w:kern w:val="2"/>
      <w:sz w:val="18"/>
      <w:szCs w:val="18"/>
    </w:rPr>
  </w:style>
  <w:style w:type="paragraph" w:customStyle="1" w:styleId="11">
    <w:name w:val="Char Char Char Char Char Char"/>
    <w:basedOn w:val="1"/>
    <w:qFormat/>
    <w:uiPriority w:val="99"/>
    <w:pPr>
      <w:adjustRightInd w:val="0"/>
    </w:pPr>
    <w:rPr>
      <w:rFonts w:ascii="Tahoma" w:hAnsi="Tahoma"/>
      <w:sz w:val="24"/>
      <w:szCs w:val="20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user</Company>
  <Pages>3</Pages>
  <Words>1190</Words>
  <Characters>1250</Characters>
  <Lines>0</Lines>
  <Paragraphs>0</Paragraphs>
  <TotalTime>6</TotalTime>
  <ScaleCrop>false</ScaleCrop>
  <LinksUpToDate>false</LinksUpToDate>
  <CharactersWithSpaces>1520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2018-04-10T07:03:00Z</dcterms:created>
  <dc:creator>李兰</dc:creator>
  <cp:lastModifiedBy>随风而起</cp:lastModifiedBy>
  <cp:lastPrinted>2020-06-30T01:24:00Z</cp:lastPrinted>
  <dcterms:modified xsi:type="dcterms:W3CDTF">2023-08-23T02:50:58Z</dcterms:modified>
  <dc:title>邵 阳 市 财 政 局 文 件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F069C9EC7A7D4B5CB24E42F709297BAB</vt:lpwstr>
  </property>
</Properties>
</file>