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eastAsia="zh-CN"/>
        </w:rPr>
        <w:t>项目</w:t>
      </w:r>
      <w:r>
        <w:rPr>
          <w:rFonts w:hint="eastAsia" w:ascii="黑体" w:eastAsia="黑体"/>
          <w:sz w:val="44"/>
          <w:szCs w:val="44"/>
        </w:rPr>
        <w:t>支出绩效自评报告表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（主管部门用）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填报部门：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市文旅广体局</w:t>
      </w:r>
      <w:r>
        <w:rPr>
          <w:rFonts w:hint="eastAsia" w:ascii="楷体" w:hAnsi="楷体" w:eastAsia="楷体" w:cs="楷体"/>
          <w:sz w:val="32"/>
          <w:szCs w:val="32"/>
        </w:rPr>
        <w:t>　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2021年6月15日</w:t>
      </w:r>
    </w:p>
    <w:tbl>
      <w:tblPr>
        <w:tblStyle w:val="5"/>
        <w:tblW w:w="91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7"/>
        <w:gridCol w:w="2493"/>
        <w:gridCol w:w="1440"/>
        <w:gridCol w:w="715"/>
        <w:gridCol w:w="1215"/>
        <w:gridCol w:w="570"/>
        <w:gridCol w:w="810"/>
        <w:gridCol w:w="13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基本情况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名称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bookmarkStart w:id="0" w:name="_GoBack"/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文旅市场监管整治</w:t>
            </w:r>
            <w:bookmarkEnd w:id="0"/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27</w:t>
            </w:r>
            <w:r>
              <w:rPr>
                <w:rFonts w:hint="eastAsia" w:ascii="楷体" w:hAnsi="楷体" w:eastAsia="楷体" w:cs="楷体"/>
                <w:sz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</w:rPr>
              <w:t>主要内容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文旅市场监管整治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主管部门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邵阳市文旅广体局　</w:t>
            </w:r>
            <w:r>
              <w:rPr>
                <w:rFonts w:hint="eastAsia" w:ascii="楷体" w:hAnsi="楷体" w:eastAsia="楷体" w:cs="楷体"/>
                <w:sz w:val="28"/>
              </w:rPr>
              <w:t>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单位负责人</w:t>
            </w:r>
          </w:p>
        </w:tc>
        <w:tc>
          <w:tcPr>
            <w:tcW w:w="2155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张映梅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项目支出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8"/>
              </w:rPr>
              <w:t>负责人</w:t>
            </w:r>
          </w:p>
        </w:tc>
        <w:tc>
          <w:tcPr>
            <w:tcW w:w="2180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段光华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属性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>经常性　　□一次性　　□新建　　□续建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资金分配情况</w:t>
            </w:r>
          </w:p>
        </w:tc>
        <w:tc>
          <w:tcPr>
            <w:tcW w:w="6120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分配区县（市）　　个；分配项目单位　　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资金总额及构成</w:t>
            </w:r>
          </w:p>
        </w:tc>
        <w:tc>
          <w:tcPr>
            <w:tcW w:w="6120" w:type="dxa"/>
            <w:gridSpan w:val="6"/>
          </w:tcPr>
          <w:p>
            <w:pPr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总额：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27</w:t>
            </w:r>
            <w:r>
              <w:rPr>
                <w:rFonts w:hint="eastAsia" w:ascii="楷体" w:hAnsi="楷体" w:eastAsia="楷体" w:cs="楷体"/>
                <w:sz w:val="24"/>
              </w:rPr>
              <w:t>万元，其中：省级财政　　万元；市级财政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27</w:t>
            </w:r>
            <w:r>
              <w:rPr>
                <w:rFonts w:hint="eastAsia" w:ascii="楷体" w:hAnsi="楷体" w:eastAsia="楷体" w:cs="楷体"/>
                <w:sz w:val="24"/>
              </w:rPr>
              <w:t>万元；区县　　万元；其他　　　万元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起止时间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　　　　　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</w:rPr>
              <w:t>月起至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3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组织管理情况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立项依据</w:t>
            </w:r>
          </w:p>
        </w:tc>
        <w:tc>
          <w:tcPr>
            <w:tcW w:w="6120" w:type="dxa"/>
            <w:gridSpan w:val="6"/>
          </w:tcPr>
          <w:p>
            <w:pPr>
              <w:spacing w:line="320" w:lineRule="exac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</w:rPr>
              <w:t>全省文化市场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综合行政执法</w:t>
            </w:r>
            <w:r>
              <w:rPr>
                <w:rFonts w:hint="eastAsia" w:ascii="楷体" w:hAnsi="楷体" w:eastAsia="楷体" w:cs="楷体"/>
                <w:sz w:val="24"/>
              </w:rPr>
              <w:t>相关会议精神，省文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旅</w:t>
            </w:r>
            <w:r>
              <w:rPr>
                <w:rFonts w:hint="eastAsia" w:ascii="楷体" w:hAnsi="楷体" w:eastAsia="楷体" w:cs="楷体"/>
                <w:sz w:val="24"/>
              </w:rPr>
              <w:t>厅会议精神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省市关于扫黑除恶专项斗争工作部署，创建国家文明城市工作要求等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可行性研究     报告结论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深入开展文旅市场监管整治，规范网吧、娱乐场所、营业性演出、旅行社等文旅场所经营秩序，严厉打击文化经营场所违规接纳未成年人、不合理低价游、黑导游等违规经营行为，确保文旅市场平安有序。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专家评审论证结论</w:t>
            </w:r>
          </w:p>
        </w:tc>
        <w:tc>
          <w:tcPr>
            <w:tcW w:w="6120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是否实施政府采购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及采购金额</w:t>
            </w:r>
          </w:p>
        </w:tc>
        <w:tc>
          <w:tcPr>
            <w:tcW w:w="6120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</w:rPr>
              <w:t xml:space="preserve">是　                    □否   </w:t>
            </w:r>
            <w:r>
              <w:rPr>
                <w:rFonts w:hint="eastAsia" w:ascii="楷体" w:hAnsi="楷体" w:eastAsia="楷体" w:cs="楷体"/>
                <w:sz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</w:rPr>
              <w:t>应采购金额   万元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是否实行招投标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  　 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>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是否实行国库   集中支付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 　　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是否实行工程代理制和投资评审制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 xml:space="preserve">□是  实行的   个项目　 </w:t>
            </w: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是否实行合同   管理制</w:t>
            </w:r>
          </w:p>
        </w:tc>
        <w:tc>
          <w:tcPr>
            <w:tcW w:w="6120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4"/>
              </w:rPr>
              <w:t>□是  实行的   个项目　 □否  未实行的  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是否实行财政专户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</w:rPr>
              <w:t xml:space="preserve">是  实行的   个项目　 □否  未实行的 </w:t>
            </w: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4"/>
              </w:rPr>
              <w:t xml:space="preserve"> 个项目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项目监管情况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管理制度和     办法名称</w:t>
            </w:r>
          </w:p>
        </w:tc>
        <w:tc>
          <w:tcPr>
            <w:tcW w:w="6120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《互联网上网服务营业场所管理条例》《娱乐场所管理条例》《营业性演出管理条例》《中华人民共和国旅游法》等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具体工作措施</w:t>
            </w:r>
          </w:p>
        </w:tc>
        <w:tc>
          <w:tcPr>
            <w:tcW w:w="6120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val="en-US" w:eastAsia="zh-CN"/>
              </w:rPr>
              <w:t>拟定文旅市场专项整治方案，开展文旅市场专项整治工作，严厉打击文旅经营场所的违法违规经营行为。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调整内容及报批程序和手续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ascii="楷体" w:hAnsi="楷体" w:eastAsia="楷体" w:cs="楷体"/>
                <w:sz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专项经费未做其他用途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完工验收情况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已验收完毕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</w:rPr>
              <w:t>监督检查情况</w:t>
            </w:r>
          </w:p>
        </w:tc>
        <w:tc>
          <w:tcPr>
            <w:tcW w:w="6120" w:type="dxa"/>
            <w:gridSpan w:val="6"/>
            <w:vAlign w:val="center"/>
          </w:tcPr>
          <w:p>
            <w:pPr>
              <w:spacing w:line="360" w:lineRule="exact"/>
              <w:jc w:val="both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经费按要求合理使用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2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资金管理情况</w:t>
            </w: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资金使用管理</w:t>
            </w:r>
          </w:p>
        </w:tc>
        <w:tc>
          <w:tcPr>
            <w:tcW w:w="6120" w:type="dxa"/>
            <w:gridSpan w:val="6"/>
            <w:tcBorders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5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财务管理制度</w:t>
            </w:r>
          </w:p>
        </w:tc>
        <w:tc>
          <w:tcPr>
            <w:tcW w:w="6120" w:type="dxa"/>
            <w:gridSpan w:val="6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专项资金，专款使用。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1" w:hRule="exact"/>
        </w:trPr>
        <w:tc>
          <w:tcPr>
            <w:tcW w:w="540" w:type="dxa"/>
            <w:vMerge w:val="restart"/>
            <w:tcBorders>
              <w:top w:val="single" w:color="auto" w:sz="4" w:space="0"/>
            </w:tcBorders>
            <w:textDirection w:val="tbRlV"/>
            <w:vAlign w:val="center"/>
          </w:tcPr>
          <w:p>
            <w:pPr>
              <w:spacing w:line="500" w:lineRule="exact"/>
              <w:ind w:left="113" w:right="113" w:firstLine="840" w:firstLineChars="300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</w:rPr>
              <w:t>安排使用情况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内容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应到位资金（万元）</w:t>
            </w: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实际到位资金（万元）</w:t>
            </w: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实际支出（万元）</w:t>
            </w: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exact"/>
        </w:trPr>
        <w:tc>
          <w:tcPr>
            <w:tcW w:w="54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440" w:type="dxa"/>
            <w:tcBorders>
              <w:left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exact"/>
        </w:trPr>
        <w:tc>
          <w:tcPr>
            <w:tcW w:w="540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27</w:t>
            </w:r>
          </w:p>
        </w:tc>
        <w:tc>
          <w:tcPr>
            <w:tcW w:w="193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27</w:t>
            </w:r>
          </w:p>
        </w:tc>
        <w:tc>
          <w:tcPr>
            <w:tcW w:w="1380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27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exact"/>
        </w:trPr>
        <w:tc>
          <w:tcPr>
            <w:tcW w:w="540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县（市区）资金</w:t>
            </w:r>
          </w:p>
        </w:tc>
        <w:tc>
          <w:tcPr>
            <w:tcW w:w="144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tcBorders>
              <w:top w:val="single" w:color="auto" w:sz="4" w:space="0"/>
            </w:tcBorders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其他配套资金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  <w:r>
              <w:rPr>
                <w:rFonts w:hint="eastAsia" w:ascii="楷体" w:hAnsi="楷体" w:eastAsia="楷体" w:cs="楷体"/>
                <w:sz w:val="28"/>
              </w:rPr>
              <w:t>合　　计</w:t>
            </w:r>
          </w:p>
        </w:tc>
        <w:tc>
          <w:tcPr>
            <w:tcW w:w="1440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27</w:t>
            </w:r>
          </w:p>
        </w:tc>
        <w:tc>
          <w:tcPr>
            <w:tcW w:w="193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27</w:t>
            </w:r>
          </w:p>
        </w:tc>
        <w:tc>
          <w:tcPr>
            <w:tcW w:w="1380" w:type="dxa"/>
            <w:gridSpan w:val="2"/>
            <w:vAlign w:val="center"/>
          </w:tcPr>
          <w:p>
            <w:pPr>
              <w:spacing w:line="560" w:lineRule="exact"/>
              <w:jc w:val="center"/>
              <w:rPr>
                <w:rFonts w:hint="default" w:ascii="楷体" w:hAnsi="楷体" w:eastAsia="楷体" w:cs="楷体"/>
                <w:sz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lang w:val="en-US" w:eastAsia="zh-CN"/>
              </w:rPr>
              <w:t>27</w:t>
            </w:r>
          </w:p>
        </w:tc>
        <w:tc>
          <w:tcPr>
            <w:tcW w:w="137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通过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开展文旅市场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整治工作，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严厉打击各类违法违规经营行为，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全市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文化旅游行业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经营秩序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及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环境良好，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文旅市场进一步规范有序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600" w:firstLineChars="200"/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文化旅游行业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经营单位进一步规范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经营秩序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，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文化经营场所违规接纳未成年人现象等到有效遏制，服务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环境进一步改善</w:t>
            </w:r>
            <w: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营业性演出活动和旅游经营秩序进一步规范，有效保障文旅市场平安有序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9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firstLine="300" w:firstLineChars="100"/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ind w:firstLine="30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0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资金分配原则程序和方法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  <w:r>
              <w:rPr>
                <w:rFonts w:hint="eastAsia" w:ascii="楷体" w:hAnsi="楷体" w:eastAsia="楷体" w:cs="楷体"/>
                <w:kern w:val="0"/>
                <w:sz w:val="30"/>
                <w:szCs w:val="30"/>
              </w:rPr>
              <w:t>本主管部门按照专项（项目）资金分配的基本原则、程序和方法，进行分配，按程序进行专项（项目）申报，并实行公开申报；部门对专项（项目）进行严格审核审核，结果实行公示。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评价工作情况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30"/>
                <w:szCs w:val="30"/>
              </w:rPr>
            </w:pPr>
            <w:r>
              <w:rPr>
                <w:rFonts w:hint="eastAsia" w:ascii="楷体" w:hAnsi="楷体" w:eastAsia="楷体" w:cs="楷体"/>
                <w:sz w:val="30"/>
                <w:szCs w:val="30"/>
              </w:rPr>
              <w:t>　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本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部门本次绩效自评严格按照《邵阳市财政局关于开展20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年专项资金支出及已完工项目绩效自评工作的通知》组织实施。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1" w:hRule="atLeast"/>
        </w:trPr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61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</w:rPr>
              <w:t>　</w:t>
            </w:r>
            <w:r>
              <w:rPr>
                <w:rFonts w:hint="eastAsia" w:ascii="楷体" w:hAnsi="楷体" w:eastAsia="楷体" w:cs="楷体"/>
                <w:sz w:val="30"/>
                <w:szCs w:val="30"/>
              </w:rPr>
              <w:t>无</w:t>
            </w:r>
          </w:p>
        </w:tc>
      </w:tr>
    </w:tbl>
    <w:p>
      <w:pPr>
        <w:spacing w:line="480" w:lineRule="exact"/>
        <w:rPr>
          <w:sz w:val="28"/>
          <w:szCs w:val="28"/>
        </w:rPr>
      </w:pPr>
      <w:r>
        <w:rPr>
          <w:rFonts w:hint="eastAsia" w:ascii="仿宋" w:hAnsi="仿宋" w:eastAsia="仿宋" w:cs="仿宋"/>
        </w:rPr>
        <w:t>说明：各单位根据文字数量需要调整此表。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项目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支出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sectPr>
      <w:footerReference r:id="rId3" w:type="default"/>
      <w:footerReference r:id="rId4" w:type="even"/>
      <w:pgSz w:w="11905" w:h="16837"/>
      <w:pgMar w:top="2098" w:right="1361" w:bottom="1985" w:left="1361" w:header="720" w:footer="1701" w:gutter="284"/>
      <w:pgNumType w:start="1"/>
      <w:cols w:space="720" w:num="1"/>
      <w:titlePg/>
      <w:docGrid w:linePitch="636" w:charSpace="2083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rPr>
        <w:rStyle w:val="7"/>
        <w:rFonts w:hint="eastAsia"/>
        <w:sz w:val="28"/>
      </w:rPr>
      <w:t>—</w:t>
    </w:r>
    <w:r>
      <w:rPr>
        <w:sz w:val="28"/>
      </w:rPr>
      <w:fldChar w:fldCharType="begin"/>
    </w:r>
    <w:r>
      <w:rPr>
        <w:rStyle w:val="7"/>
        <w:sz w:val="28"/>
      </w:rPr>
      <w:instrText xml:space="preserve">PAGE  </w:instrText>
    </w:r>
    <w:r>
      <w:rPr>
        <w:sz w:val="28"/>
      </w:rPr>
      <w:fldChar w:fldCharType="separate"/>
    </w:r>
    <w:r>
      <w:rPr>
        <w:rStyle w:val="7"/>
        <w:sz w:val="28"/>
      </w:rPr>
      <w:t>7</w:t>
    </w:r>
    <w:r>
      <w:rPr>
        <w:sz w:val="28"/>
      </w:rPr>
      <w:fldChar w:fldCharType="end"/>
    </w:r>
    <w:r>
      <w:rPr>
        <w:rStyle w:val="7"/>
        <w:rFonts w:hint="eastAsia"/>
        <w:sz w:val="28"/>
      </w:rPr>
      <w:t>—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6D"/>
    <w:rsid w:val="00027480"/>
    <w:rsid w:val="0002778D"/>
    <w:rsid w:val="000B2627"/>
    <w:rsid w:val="000F02B3"/>
    <w:rsid w:val="001B3EB8"/>
    <w:rsid w:val="001F62A8"/>
    <w:rsid w:val="002A7D15"/>
    <w:rsid w:val="00304854"/>
    <w:rsid w:val="0037519D"/>
    <w:rsid w:val="00470261"/>
    <w:rsid w:val="004C322C"/>
    <w:rsid w:val="004D12B3"/>
    <w:rsid w:val="00521601"/>
    <w:rsid w:val="00627398"/>
    <w:rsid w:val="00827F35"/>
    <w:rsid w:val="0089116D"/>
    <w:rsid w:val="008A3F74"/>
    <w:rsid w:val="00947F94"/>
    <w:rsid w:val="00A12A6C"/>
    <w:rsid w:val="00A163F9"/>
    <w:rsid w:val="00A84CE4"/>
    <w:rsid w:val="00AF3822"/>
    <w:rsid w:val="00B071E3"/>
    <w:rsid w:val="00B23AF1"/>
    <w:rsid w:val="00B61CC6"/>
    <w:rsid w:val="00BC01BB"/>
    <w:rsid w:val="00BF31DF"/>
    <w:rsid w:val="00C24E3E"/>
    <w:rsid w:val="00C70E9B"/>
    <w:rsid w:val="00C71E76"/>
    <w:rsid w:val="00C745D1"/>
    <w:rsid w:val="00CF606B"/>
    <w:rsid w:val="00D2155D"/>
    <w:rsid w:val="00DC7753"/>
    <w:rsid w:val="00DE72EA"/>
    <w:rsid w:val="00E04FF5"/>
    <w:rsid w:val="00E12F5D"/>
    <w:rsid w:val="00E2562C"/>
    <w:rsid w:val="00E43173"/>
    <w:rsid w:val="00F32EE8"/>
    <w:rsid w:val="00F716DA"/>
    <w:rsid w:val="00FE363D"/>
    <w:rsid w:val="02E66ED9"/>
    <w:rsid w:val="09EF34D7"/>
    <w:rsid w:val="0A400DB1"/>
    <w:rsid w:val="0F811861"/>
    <w:rsid w:val="18F50E63"/>
    <w:rsid w:val="1E1B39B6"/>
    <w:rsid w:val="2A42583C"/>
    <w:rsid w:val="2D4D2C8C"/>
    <w:rsid w:val="30BB586E"/>
    <w:rsid w:val="3758124C"/>
    <w:rsid w:val="3790261F"/>
    <w:rsid w:val="37E94CEE"/>
    <w:rsid w:val="38B34B32"/>
    <w:rsid w:val="38F53ECF"/>
    <w:rsid w:val="3CF11949"/>
    <w:rsid w:val="3FDD4795"/>
    <w:rsid w:val="42D458E8"/>
    <w:rsid w:val="44A22936"/>
    <w:rsid w:val="4C9C51D7"/>
    <w:rsid w:val="4DD01F2C"/>
    <w:rsid w:val="4E055C01"/>
    <w:rsid w:val="50A414D4"/>
    <w:rsid w:val="596B393A"/>
    <w:rsid w:val="5CF53A3C"/>
    <w:rsid w:val="60B70652"/>
    <w:rsid w:val="61773296"/>
    <w:rsid w:val="630A642E"/>
    <w:rsid w:val="654A4C44"/>
    <w:rsid w:val="68851984"/>
    <w:rsid w:val="6B982FEB"/>
    <w:rsid w:val="6C5E2970"/>
    <w:rsid w:val="705A49A7"/>
    <w:rsid w:val="795906D8"/>
    <w:rsid w:val="A5FF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Char Char Char Char Char Char"/>
    <w:basedOn w:val="1"/>
    <w:qFormat/>
    <w:uiPriority w:val="0"/>
    <w:pPr>
      <w:adjustRightInd w:val="0"/>
    </w:pPr>
    <w:rPr>
      <w:rFonts w:ascii="Tahoma" w:hAnsi="Tahoma"/>
      <w:sz w:val="24"/>
      <w:szCs w:val="20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4</Pages>
  <Words>1255</Words>
  <Characters>1278</Characters>
  <Lines>42</Lines>
  <Paragraphs>12</Paragraphs>
  <TotalTime>11</TotalTime>
  <ScaleCrop>false</ScaleCrop>
  <LinksUpToDate>false</LinksUpToDate>
  <CharactersWithSpaces>1445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2018-03-05T17:02:00Z</dcterms:created>
  <dc:creator>李兰</dc:creator>
  <cp:lastModifiedBy>F.L.Y</cp:lastModifiedBy>
  <dcterms:modified xsi:type="dcterms:W3CDTF">2022-09-06T07:01:56Z</dcterms:modified>
  <dc:title>邵 阳 市 财 政 局 文 件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70CA1C409915418F874C406FBE5A412C</vt:lpwstr>
  </property>
</Properties>
</file>