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444444"/>
          <w:spacing w:val="0"/>
          <w:sz w:val="24"/>
          <w:szCs w:val="24"/>
        </w:rPr>
      </w:pPr>
      <w:r>
        <w:rPr>
          <w:rFonts w:hint="eastAsia" w:ascii="宋体" w:hAnsi="宋体" w:eastAsia="宋体" w:cs="宋体"/>
          <w:b/>
          <w:bCs/>
          <w:i w:val="0"/>
          <w:iCs w:val="0"/>
          <w:caps w:val="0"/>
          <w:color w:val="444444"/>
          <w:spacing w:val="0"/>
          <w:sz w:val="32"/>
          <w:szCs w:val="32"/>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444444"/>
          <w:spacing w:val="0"/>
          <w:sz w:val="24"/>
          <w:szCs w:val="24"/>
        </w:rPr>
      </w:pPr>
      <w:r>
        <w:rPr>
          <w:rFonts w:hint="eastAsia" w:ascii="宋体" w:hAnsi="宋体" w:eastAsia="宋体" w:cs="宋体"/>
          <w:b/>
          <w:bCs/>
          <w:i w:val="0"/>
          <w:iCs w:val="0"/>
          <w:caps w:val="0"/>
          <w:color w:val="444444"/>
          <w:spacing w:val="0"/>
          <w:sz w:val="32"/>
          <w:szCs w:val="32"/>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444444"/>
          <w:spacing w:val="0"/>
          <w:sz w:val="24"/>
          <w:szCs w:val="24"/>
        </w:rPr>
      </w:pPr>
      <w:r>
        <w:rPr>
          <w:rFonts w:hint="eastAsia" w:ascii="宋体" w:hAnsi="宋体" w:eastAsia="宋体" w:cs="宋体"/>
          <w:b/>
          <w:bCs/>
          <w:i w:val="0"/>
          <w:iCs w:val="0"/>
          <w:caps w:val="0"/>
          <w:color w:val="444444"/>
          <w:spacing w:val="0"/>
          <w:sz w:val="27"/>
          <w:szCs w:val="27"/>
          <w:bdr w:val="none" w:color="auto" w:sz="0" w:space="0"/>
          <w:shd w:val="clear" w:fill="FFFFFF"/>
        </w:rPr>
        <w:t>项目支出绩效自评报告表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444444"/>
          <w:spacing w:val="0"/>
          <w:sz w:val="24"/>
          <w:szCs w:val="24"/>
        </w:rPr>
      </w:pPr>
      <w:r>
        <w:rPr>
          <w:rFonts w:hint="eastAsia" w:ascii="宋体" w:hAnsi="宋体" w:eastAsia="宋体" w:cs="宋体"/>
          <w:i w:val="0"/>
          <w:iCs w:val="0"/>
          <w:caps w:val="0"/>
          <w:color w:val="444444"/>
          <w:spacing w:val="0"/>
          <w:sz w:val="27"/>
          <w:szCs w:val="27"/>
          <w:bdr w:val="none" w:color="auto" w:sz="0" w:space="0"/>
          <w:shd w:val="clear" w:fill="FFFFFF"/>
        </w:rPr>
        <w:t>（主管部门用）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444444"/>
          <w:spacing w:val="0"/>
          <w:sz w:val="24"/>
          <w:szCs w:val="24"/>
        </w:rPr>
      </w:pPr>
      <w:r>
        <w:rPr>
          <w:rFonts w:hint="eastAsia" w:ascii="宋体" w:hAnsi="宋体" w:eastAsia="宋体" w:cs="宋体"/>
          <w:i w:val="0"/>
          <w:iCs w:val="0"/>
          <w:caps w:val="0"/>
          <w:color w:val="444444"/>
          <w:spacing w:val="0"/>
          <w:sz w:val="27"/>
          <w:szCs w:val="27"/>
          <w:bdr w:val="none" w:color="auto" w:sz="0" w:space="0"/>
          <w:shd w:val="clear" w:fill="FFFFFF"/>
        </w:rPr>
        <w:t>填报部门：</w:t>
      </w:r>
      <w:bookmarkStart w:id="0" w:name="_GoBack"/>
      <w:r>
        <w:rPr>
          <w:rFonts w:hint="eastAsia" w:ascii="宋体" w:hAnsi="宋体" w:eastAsia="宋体" w:cs="宋体"/>
          <w:i w:val="0"/>
          <w:iCs w:val="0"/>
          <w:caps w:val="0"/>
          <w:color w:val="444444"/>
          <w:spacing w:val="0"/>
          <w:sz w:val="27"/>
          <w:szCs w:val="27"/>
          <w:bdr w:val="none" w:color="auto" w:sz="0" w:space="0"/>
          <w:shd w:val="clear" w:fill="FFFFFF"/>
        </w:rPr>
        <w:t>邵阳市市场监督管理局</w:t>
      </w:r>
      <w:bookmarkEnd w:id="0"/>
      <w:r>
        <w:rPr>
          <w:rFonts w:hint="eastAsia" w:ascii="宋体" w:hAnsi="宋体" w:eastAsia="宋体" w:cs="宋体"/>
          <w:i w:val="0"/>
          <w:iCs w:val="0"/>
          <w:caps w:val="0"/>
          <w:color w:val="444444"/>
          <w:spacing w:val="0"/>
          <w:sz w:val="27"/>
          <w:szCs w:val="27"/>
          <w:bdr w:val="none" w:color="auto" w:sz="0" w:space="0"/>
          <w:shd w:val="clear" w:fill="FFFFFF"/>
        </w:rPr>
        <w:t> 填报日期：2021年6月8日</w:t>
      </w:r>
    </w:p>
    <w:tbl>
      <w:tblPr>
        <w:tblW w:w="96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562"/>
        <w:gridCol w:w="237"/>
        <w:gridCol w:w="2015"/>
        <w:gridCol w:w="1440"/>
        <w:gridCol w:w="621"/>
        <w:gridCol w:w="1144"/>
        <w:gridCol w:w="570"/>
        <w:gridCol w:w="798"/>
        <w:gridCol w:w="12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0" w:hRule="atLeast"/>
        </w:trPr>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ascii="楷体" w:hAnsi="楷体" w:eastAsia="楷体" w:cs="楷体"/>
                <w:i w:val="0"/>
                <w:iCs w:val="0"/>
                <w:caps w:val="0"/>
                <w:color w:val="444444"/>
                <w:spacing w:val="0"/>
                <w:sz w:val="28"/>
                <w:szCs w:val="28"/>
                <w:bdr w:val="none" w:color="auto" w:sz="0" w:space="0"/>
              </w:rPr>
              <w:t>基本情况</w:t>
            </w:r>
          </w:p>
        </w:tc>
        <w:tc>
          <w:tcPr>
            <w:tcW w:w="2765"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项目支出名称</w:t>
            </w:r>
          </w:p>
        </w:tc>
        <w:tc>
          <w:tcPr>
            <w:tcW w:w="6120" w:type="dxa"/>
            <w:gridSpan w:val="6"/>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left"/>
            </w:pPr>
            <w:r>
              <w:rPr>
                <w:rFonts w:hint="eastAsia" w:ascii="楷体" w:hAnsi="楷体" w:eastAsia="楷体" w:cs="楷体"/>
                <w:i w:val="0"/>
                <w:iCs w:val="0"/>
                <w:caps w:val="0"/>
                <w:color w:val="444444"/>
                <w:spacing w:val="0"/>
                <w:sz w:val="28"/>
                <w:szCs w:val="28"/>
                <w:bdr w:val="none" w:color="auto" w:sz="0" w:space="0"/>
              </w:rPr>
              <w:t>市场监督管理事务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00"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楷体" w:hAnsi="楷体" w:eastAsia="楷体" w:cs="楷体"/>
                <w:i w:val="0"/>
                <w:iCs w:val="0"/>
                <w:caps w:val="0"/>
                <w:color w:val="444444"/>
                <w:spacing w:val="0"/>
                <w:sz w:val="28"/>
                <w:szCs w:val="28"/>
                <w:bdr w:val="none" w:color="auto" w:sz="0" w:space="0"/>
              </w:rPr>
              <w:t>项目支出主要内容</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4"/>
                <w:szCs w:val="24"/>
                <w:bdr w:val="none" w:color="auto" w:sz="0" w:space="0"/>
              </w:rPr>
              <w:t>实施商标品牌战略、打击传销、商品检测、企业信用监管、商事制度改革、网络交易监管、非公党建、地理标志推介经费、消费者委员会、公共品牌注册和监管、食品相关产品监督管理；特种设备安全宣传、特种设备安全监管；机动车安检机构监管、重点工业产品安全监管、计量标准考核及标准计量认证认可基础建设、执法打假及专项整治、质量教育培训及质量宣传、食品相关产品及重点工业产品质量市场监督抽查和计量强制检定器具免费检定、市食安委、食品安全抽检抽样、12315举报处理平台、反垄断监管、知识产权管理等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9"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主管部门</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left"/>
            </w:pPr>
            <w:r>
              <w:rPr>
                <w:rFonts w:hint="eastAsia" w:ascii="楷体" w:hAnsi="楷体" w:eastAsia="楷体" w:cs="楷体"/>
                <w:i w:val="0"/>
                <w:iCs w:val="0"/>
                <w:caps w:val="0"/>
                <w:color w:val="444444"/>
                <w:spacing w:val="0"/>
                <w:sz w:val="28"/>
                <w:szCs w:val="28"/>
                <w:bdr w:val="none" w:color="auto" w:sz="0" w:space="0"/>
              </w:rPr>
              <w:t> 邵阳市人民政府            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97"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单位负责人</w:t>
            </w:r>
          </w:p>
        </w:tc>
        <w:tc>
          <w:tcPr>
            <w:tcW w:w="2155" w:type="dxa"/>
            <w:gridSpan w:val="2"/>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left"/>
            </w:pPr>
            <w:r>
              <w:rPr>
                <w:rFonts w:hint="eastAsia" w:ascii="楷体" w:hAnsi="楷体" w:eastAsia="楷体" w:cs="楷体"/>
                <w:i w:val="0"/>
                <w:iCs w:val="0"/>
                <w:caps w:val="0"/>
                <w:color w:val="444444"/>
                <w:spacing w:val="0"/>
                <w:sz w:val="28"/>
                <w:szCs w:val="28"/>
                <w:bdr w:val="none" w:color="auto" w:sz="0" w:space="0"/>
              </w:rPr>
              <w:t>吴卫红</w:t>
            </w:r>
          </w:p>
        </w:tc>
        <w:tc>
          <w:tcPr>
            <w:tcW w:w="1785"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楷体" w:hAnsi="楷体" w:eastAsia="楷体" w:cs="楷体"/>
                <w:i w:val="0"/>
                <w:iCs w:val="0"/>
                <w:caps w:val="0"/>
                <w:color w:val="444444"/>
                <w:spacing w:val="0"/>
                <w:sz w:val="28"/>
                <w:szCs w:val="28"/>
                <w:bdr w:val="none" w:color="auto" w:sz="0" w:space="0"/>
              </w:rPr>
              <w:t>项目支出  负责人</w:t>
            </w:r>
          </w:p>
        </w:tc>
        <w:tc>
          <w:tcPr>
            <w:tcW w:w="2180"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left"/>
            </w:pPr>
            <w:r>
              <w:rPr>
                <w:rFonts w:hint="eastAsia" w:ascii="楷体" w:hAnsi="楷体" w:eastAsia="楷体" w:cs="楷体"/>
                <w:i w:val="0"/>
                <w:iCs w:val="0"/>
                <w:caps w:val="0"/>
                <w:color w:val="444444"/>
                <w:spacing w:val="0"/>
                <w:sz w:val="28"/>
                <w:szCs w:val="28"/>
                <w:bdr w:val="none" w:color="auto" w:sz="0" w:space="0"/>
              </w:rPr>
              <w:t>曾广晖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99"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项目属性</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left"/>
            </w:pPr>
            <w:r>
              <w:rPr>
                <w:rFonts w:hint="eastAsia" w:ascii="楷体" w:hAnsi="楷体" w:eastAsia="楷体" w:cs="楷体"/>
                <w:i w:val="0"/>
                <w:iCs w:val="0"/>
                <w:caps w:val="0"/>
                <w:color w:val="444444"/>
                <w:spacing w:val="0"/>
                <w:sz w:val="28"/>
                <w:szCs w:val="28"/>
                <w:bdr w:val="none" w:color="auto" w:sz="0" w:space="0"/>
              </w:rPr>
              <w:t> ☑经常性  □一次性  □新建  □续建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4"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资金分配情况</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left"/>
            </w:pPr>
            <w:r>
              <w:rPr>
                <w:rFonts w:hint="eastAsia" w:ascii="楷体" w:hAnsi="楷体" w:eastAsia="楷体" w:cs="楷体"/>
                <w:i w:val="0"/>
                <w:iCs w:val="0"/>
                <w:caps w:val="0"/>
                <w:color w:val="444444"/>
                <w:spacing w:val="0"/>
                <w:sz w:val="28"/>
                <w:szCs w:val="28"/>
                <w:bdr w:val="none" w:color="auto" w:sz="0" w:space="0"/>
              </w:rPr>
              <w:t>分配区县（市）1个；分配项目单位4个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27"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资金总额及构成</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楷体" w:hAnsi="楷体" w:eastAsia="楷体" w:cs="楷体"/>
                <w:i w:val="0"/>
                <w:iCs w:val="0"/>
                <w:caps w:val="0"/>
                <w:color w:val="444444"/>
                <w:spacing w:val="0"/>
                <w:sz w:val="24"/>
                <w:szCs w:val="24"/>
                <w:bdr w:val="none" w:color="auto" w:sz="0" w:space="0"/>
              </w:rPr>
              <w:t>总额：1585.892万元，其中：省级财政783.202万元；市级财政802.69万元；区县  万元；其他   万元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pPr>
            <w:r>
              <w:rPr>
                <w:rFonts w:hint="eastAsia" w:ascii="楷体" w:hAnsi="楷体" w:eastAsia="楷体" w:cs="楷体"/>
                <w:i w:val="0"/>
                <w:iCs w:val="0"/>
                <w:caps w:val="0"/>
                <w:color w:val="444444"/>
                <w:spacing w:val="0"/>
                <w:sz w:val="24"/>
                <w:szCs w:val="24"/>
                <w:bdr w:val="none" w:color="auto" w:sz="0" w:space="0"/>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31" w:hRule="atLeast"/>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项目起止时间</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pPr>
            <w:r>
              <w:rPr>
                <w:rFonts w:hint="eastAsia" w:ascii="楷体" w:hAnsi="楷体" w:eastAsia="楷体" w:cs="楷体"/>
                <w:i w:val="0"/>
                <w:iCs w:val="0"/>
                <w:caps w:val="0"/>
                <w:color w:val="444444"/>
                <w:spacing w:val="0"/>
                <w:sz w:val="28"/>
                <w:szCs w:val="28"/>
                <w:bdr w:val="none" w:color="auto" w:sz="0" w:space="0"/>
              </w:rPr>
              <w:t>2020年1起至2020年12月止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94" w:hRule="atLeast"/>
        </w:trPr>
        <w:tc>
          <w:tcPr>
            <w:tcW w:w="78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组织管理情况</w:t>
            </w: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项目立项依据</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4"/>
                <w:szCs w:val="24"/>
                <w:bdr w:val="none" w:color="auto" w:sz="0" w:space="0"/>
              </w:rPr>
              <w:t>《食品安全法》《消费者权益保护法》《特种设备安全法》《反不正当竞争法》《商标法》《广告法》《行政处罚法》《禁止传销条例》《流通领域商品质量抽查检验办法》《企业信息公示暂行条例》《网络交易监管办法》《湖南省非税收入管理条例》《特种设备安全监察条例》《湖南省人民政府办公厅关于加强特种设备安全工作的意见》《机动车安全技术检验机构监督管理办法》（国家质量监督检验检疫总局令第121号）《湖南省安委会安全责任制》《邵阳市安委会安全责任制》《关于明确停征工业产品生产许可证发证检验费和计量强制检定收费有关问题的复函》《关于清理规范一批行政事业性收费有关政策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089"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可行性研究     报告结论</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pPr>
            <w:r>
              <w:rPr>
                <w:rFonts w:hint="eastAsia" w:ascii="楷体" w:hAnsi="楷体" w:eastAsia="楷体" w:cs="楷体"/>
                <w:i w:val="0"/>
                <w:iCs w:val="0"/>
                <w:caps w:val="0"/>
                <w:color w:val="444444"/>
                <w:spacing w:val="0"/>
                <w:sz w:val="24"/>
                <w:szCs w:val="24"/>
                <w:bdr w:val="none" w:color="auto" w:sz="0" w:space="0"/>
              </w:rPr>
              <w:t>法定职责转变要求：大力推进质量提升，深入推进简政放权，严守安全底线，加强事中事后监管，提高管理服务水平。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70"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专家评审论证结论</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4"/>
                <w:szCs w:val="24"/>
                <w:bdr w:val="none" w:color="auto" w:sz="0" w:space="0"/>
              </w:rPr>
              <w:t>省财政厅、省市场监管局、市财政局专家每年评审一次。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016"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是否实施政府采购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及采购金额</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8"/>
                <w:szCs w:val="28"/>
                <w:bdr w:val="none" w:color="auto" w:sz="0" w:space="0"/>
              </w:rPr>
              <w:t>☑是                     □否   </w:t>
            </w:r>
            <w:r>
              <w:rPr>
                <w:rFonts w:hint="eastAsia" w:ascii="宋体" w:hAnsi="宋体" w:eastAsia="宋体" w:cs="宋体"/>
                <w:i w:val="0"/>
                <w:iCs w:val="0"/>
                <w:caps w:val="0"/>
                <w:color w:val="444444"/>
                <w:spacing w:val="0"/>
                <w:sz w:val="24"/>
                <w:szCs w:val="24"/>
                <w:bdr w:val="none" w:color="auto" w:sz="0" w:space="0"/>
              </w:rPr>
              <w:br w:type="textWrapping"/>
            </w:r>
            <w:r>
              <w:rPr>
                <w:rFonts w:hint="eastAsia" w:ascii="楷体" w:hAnsi="楷体" w:eastAsia="楷体" w:cs="楷体"/>
                <w:i w:val="0"/>
                <w:iCs w:val="0"/>
                <w:caps w:val="0"/>
                <w:color w:val="444444"/>
                <w:spacing w:val="0"/>
                <w:sz w:val="28"/>
                <w:szCs w:val="28"/>
                <w:bdr w:val="none" w:color="auto" w:sz="0" w:space="0"/>
              </w:rPr>
              <w:t>应采购金额977.73万元  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8"/>
                <w:szCs w:val="28"/>
                <w:bdr w:val="none" w:color="auto" w:sz="0" w:space="0"/>
              </w:rPr>
              <w:t>实际采购金额977.73万元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67"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是否实行招投标</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pPr>
            <w:r>
              <w:rPr>
                <w:rFonts w:hint="eastAsia" w:ascii="楷体" w:hAnsi="楷体" w:eastAsia="楷体" w:cs="楷体"/>
                <w:i w:val="0"/>
                <w:iCs w:val="0"/>
                <w:caps w:val="0"/>
                <w:color w:val="444444"/>
                <w:spacing w:val="0"/>
                <w:sz w:val="24"/>
                <w:szCs w:val="24"/>
                <w:bdr w:val="none" w:color="auto" w:sz="0" w:space="0"/>
              </w:rPr>
              <w:t>☑是  实行的  5个项目    □否  未实行的   个项目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38"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是否实行国库   集中支付</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pPr>
            <w:r>
              <w:rPr>
                <w:rFonts w:hint="eastAsia" w:ascii="楷体" w:hAnsi="楷体" w:eastAsia="楷体" w:cs="楷体"/>
                <w:i w:val="0"/>
                <w:iCs w:val="0"/>
                <w:caps w:val="0"/>
                <w:color w:val="444444"/>
                <w:spacing w:val="0"/>
                <w:sz w:val="24"/>
                <w:szCs w:val="24"/>
                <w:bdr w:val="none" w:color="auto" w:sz="0" w:space="0"/>
              </w:rPr>
              <w:t>☑是  全部实行          □否  未实行的   个项目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95"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是否实行工程代理制和投资评审制</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pPr>
            <w:r>
              <w:rPr>
                <w:rFonts w:hint="eastAsia" w:ascii="楷体" w:hAnsi="楷体" w:eastAsia="楷体" w:cs="楷体"/>
                <w:i w:val="0"/>
                <w:iCs w:val="0"/>
                <w:caps w:val="0"/>
                <w:color w:val="444444"/>
                <w:spacing w:val="0"/>
                <w:sz w:val="24"/>
                <w:szCs w:val="24"/>
                <w:bdr w:val="none" w:color="auto" w:sz="0" w:space="0"/>
              </w:rPr>
              <w:t>□是  实行的   个项目  ☑否  未实行的   个项目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25"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是否实行合同   管理制</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pPr>
            <w:r>
              <w:rPr>
                <w:rFonts w:hint="eastAsia" w:ascii="楷体" w:hAnsi="楷体" w:eastAsia="楷体" w:cs="楷体"/>
                <w:i w:val="0"/>
                <w:iCs w:val="0"/>
                <w:caps w:val="0"/>
                <w:color w:val="444444"/>
                <w:spacing w:val="0"/>
                <w:sz w:val="24"/>
                <w:szCs w:val="24"/>
                <w:bdr w:val="none" w:color="auto" w:sz="0" w:space="0"/>
              </w:rPr>
              <w:t>☑是  实行的660个项目  □否  未实行的   个项目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045"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是否实行财政双控账户管理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管理情况</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pPr>
            <w:r>
              <w:rPr>
                <w:rFonts w:hint="eastAsia" w:ascii="楷体" w:hAnsi="楷体" w:eastAsia="楷体" w:cs="楷体"/>
                <w:i w:val="0"/>
                <w:iCs w:val="0"/>
                <w:caps w:val="0"/>
                <w:color w:val="444444"/>
                <w:spacing w:val="0"/>
                <w:sz w:val="24"/>
                <w:szCs w:val="24"/>
                <w:bdr w:val="none" w:color="auto" w:sz="0" w:space="0"/>
              </w:rPr>
              <w:t>□是  实行的   个项目 ☑否  未实行的   个项目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83"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是否实行财政专户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管理</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pPr>
            <w:r>
              <w:rPr>
                <w:rFonts w:hint="eastAsia" w:ascii="楷体" w:hAnsi="楷体" w:eastAsia="楷体" w:cs="楷体"/>
                <w:i w:val="0"/>
                <w:iCs w:val="0"/>
                <w:caps w:val="0"/>
                <w:color w:val="444444"/>
                <w:spacing w:val="0"/>
                <w:sz w:val="24"/>
                <w:szCs w:val="24"/>
                <w:bdr w:val="none" w:color="auto" w:sz="0" w:space="0"/>
              </w:rPr>
              <w:t>□是  实行的   个项目  ☑否  未实行的   个项目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839" w:hRule="atLeast"/>
        </w:trPr>
        <w:tc>
          <w:tcPr>
            <w:tcW w:w="78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pPr>
            <w:r>
              <w:rPr>
                <w:rFonts w:hint="eastAsia" w:ascii="楷体" w:hAnsi="楷体" w:eastAsia="楷体" w:cs="楷体"/>
                <w:i w:val="0"/>
                <w:iCs w:val="0"/>
                <w:caps w:val="0"/>
                <w:color w:val="444444"/>
                <w:spacing w:val="0"/>
                <w:sz w:val="28"/>
                <w:szCs w:val="28"/>
                <w:bdr w:val="none" w:color="auto" w:sz="0" w:space="0"/>
              </w:rPr>
              <w:t>项目监管情况</w:t>
            </w: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管理制度和     办法名称</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80" w:right="0"/>
              <w:jc w:val="left"/>
            </w:pPr>
            <w:r>
              <w:rPr>
                <w:rFonts w:hint="eastAsia" w:ascii="楷体" w:hAnsi="楷体" w:eastAsia="楷体" w:cs="楷体"/>
                <w:i w:val="0"/>
                <w:iCs w:val="0"/>
                <w:caps w:val="0"/>
                <w:color w:val="444444"/>
                <w:spacing w:val="0"/>
                <w:sz w:val="24"/>
                <w:szCs w:val="24"/>
                <w:bdr w:val="none" w:color="auto" w:sz="0" w:space="0"/>
              </w:rPr>
              <w:t>《省财政厅省市场监管局关于印发〈湖南省市场监督管理专项资金管理办法〉的通知》和《湖南省市场监督管理局对中央食品监管金绩效管理办法（试行）》《湖南省市场监督管理局省级资金绩效管理办法（试行）》《邵阳市市场监督管理局专项资金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24"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具体工作措施</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4"/>
                <w:szCs w:val="24"/>
                <w:bdr w:val="none" w:color="auto" w:sz="0" w:space="0"/>
              </w:rPr>
              <w:t>我局制定了《邵阳市市场监督管理局专项资金管理办法》《邵阳市市场监督管理局省级专项资金绩效管理办法》《邵阳市市场监督管理局对中央食品专项资金绩效管理办法》等制度，对2020年度各类专项经费实行横向到边、纵向到底网格化管理模式，即横向由市局科技和财务部门牵头，项目实施部门和办公室等部门配合管理专项资金；纵向由项目实施部门对口管理各级局股室所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132"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项目调整内容及报批程序和手续</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4"/>
                <w:szCs w:val="24"/>
                <w:bdr w:val="none" w:color="auto" w:sz="0" w:space="0"/>
              </w:rPr>
              <w:t>专项（项目）如有调整，资金未按预算规定用途使用，需经市局局长办公会集体研究后报省市场监督管理局或市财政局批准。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06"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项目完工验收情况</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pPr>
            <w:r>
              <w:rPr>
                <w:rFonts w:hint="eastAsia" w:ascii="楷体" w:hAnsi="楷体" w:eastAsia="楷体" w:cs="楷体"/>
                <w:i w:val="0"/>
                <w:iCs w:val="0"/>
                <w:caps w:val="0"/>
                <w:color w:val="444444"/>
                <w:spacing w:val="0"/>
                <w:sz w:val="24"/>
                <w:szCs w:val="24"/>
                <w:bdr w:val="none" w:color="auto" w:sz="0" w:space="0"/>
              </w:rPr>
              <w:t>优秀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850"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项目监督检查情况</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楷体" w:hAnsi="楷体" w:eastAsia="楷体" w:cs="楷体"/>
                <w:i w:val="0"/>
                <w:iCs w:val="0"/>
                <w:caps w:val="0"/>
                <w:color w:val="444444"/>
                <w:spacing w:val="0"/>
                <w:sz w:val="24"/>
                <w:szCs w:val="24"/>
                <w:bdr w:val="none" w:color="auto" w:sz="0" w:space="0"/>
              </w:rPr>
              <w:t>按照《邵阳市市场监督管理局专项经费管理办法》进行日常检查、专项检查、定期检查、随机抽查。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97" w:hRule="atLeast"/>
        </w:trPr>
        <w:tc>
          <w:tcPr>
            <w:tcW w:w="78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pPr>
            <w:r>
              <w:rPr>
                <w:rFonts w:hint="eastAsia" w:ascii="楷体" w:hAnsi="楷体" w:eastAsia="楷体" w:cs="楷体"/>
                <w:i w:val="0"/>
                <w:iCs w:val="0"/>
                <w:caps w:val="0"/>
                <w:color w:val="444444"/>
                <w:spacing w:val="0"/>
                <w:sz w:val="28"/>
                <w:szCs w:val="28"/>
                <w:bdr w:val="none" w:color="auto" w:sz="0" w:space="0"/>
              </w:rPr>
              <w:t>资金管理情况</w:t>
            </w: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资金使用管理</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楷体" w:hAnsi="楷体" w:eastAsia="楷体" w:cs="楷体"/>
                <w:i w:val="0"/>
                <w:iCs w:val="0"/>
                <w:caps w:val="0"/>
                <w:color w:val="444444"/>
                <w:spacing w:val="0"/>
                <w:sz w:val="24"/>
                <w:szCs w:val="24"/>
                <w:bdr w:val="none" w:color="auto" w:sz="0" w:space="0"/>
              </w:rPr>
              <w:t>没有虚列支出、截留挤占挪用、超标准开支、无超预算等情况。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115"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hint="eastAsia" w:ascii="楷体" w:hAnsi="楷体" w:eastAsia="楷体" w:cs="楷体"/>
                <w:i w:val="0"/>
                <w:iCs w:val="0"/>
                <w:caps w:val="0"/>
                <w:color w:val="444444"/>
                <w:spacing w:val="0"/>
                <w:sz w:val="28"/>
                <w:szCs w:val="28"/>
                <w:bdr w:val="none" w:color="auto" w:sz="0" w:space="0"/>
              </w:rPr>
              <w:t>财务管理制度</w:t>
            </w:r>
          </w:p>
        </w:tc>
        <w:tc>
          <w:tcPr>
            <w:tcW w:w="6120" w:type="dxa"/>
            <w:gridSpan w:val="6"/>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pPr>
            <w:r>
              <w:rPr>
                <w:rFonts w:hint="eastAsia" w:ascii="楷体" w:hAnsi="楷体" w:eastAsia="楷体" w:cs="楷体"/>
                <w:i w:val="0"/>
                <w:iCs w:val="0"/>
                <w:caps w:val="0"/>
                <w:color w:val="444444"/>
                <w:spacing w:val="0"/>
                <w:sz w:val="24"/>
                <w:szCs w:val="24"/>
                <w:bdr w:val="none" w:color="auto" w:sz="0" w:space="0"/>
              </w:rPr>
              <w:t>《邵阳市市场监督管理局经费支出联审会签制度》《关于实施公务卡强制结算目录的通知》《邵阳市市场监督管理局财务公开制度》。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801" w:hRule="atLeast"/>
        </w:trPr>
        <w:tc>
          <w:tcPr>
            <w:tcW w:w="78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113" w:right="113" w:firstLine="840"/>
            </w:pPr>
            <w:r>
              <w:rPr>
                <w:rFonts w:hint="eastAsia" w:ascii="楷体" w:hAnsi="楷体" w:eastAsia="楷体" w:cs="楷体"/>
                <w:i w:val="0"/>
                <w:iCs w:val="0"/>
                <w:caps w:val="0"/>
                <w:color w:val="444444"/>
                <w:spacing w:val="0"/>
                <w:sz w:val="28"/>
                <w:szCs w:val="28"/>
                <w:bdr w:val="none" w:color="auto" w:sz="0" w:space="0"/>
              </w:rPr>
              <w:t>资金安排使用情况</w:t>
            </w: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内容</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楷体" w:hAnsi="楷体" w:eastAsia="楷体" w:cs="楷体"/>
                <w:i w:val="0"/>
                <w:iCs w:val="0"/>
                <w:caps w:val="0"/>
                <w:color w:val="444444"/>
                <w:spacing w:val="0"/>
                <w:sz w:val="28"/>
                <w:szCs w:val="28"/>
                <w:bdr w:val="none" w:color="auto" w:sz="0" w:space="0"/>
              </w:rPr>
              <w:t>应到位资金（万元）</w:t>
            </w:r>
          </w:p>
        </w:tc>
        <w:tc>
          <w:tcPr>
            <w:tcW w:w="1930"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楷体" w:hAnsi="楷体" w:eastAsia="楷体" w:cs="楷体"/>
                <w:i w:val="0"/>
                <w:iCs w:val="0"/>
                <w:caps w:val="0"/>
                <w:color w:val="444444"/>
                <w:spacing w:val="0"/>
                <w:sz w:val="28"/>
                <w:szCs w:val="28"/>
                <w:bdr w:val="none" w:color="auto" w:sz="0" w:space="0"/>
              </w:rPr>
              <w:t>实际到位资金（万元）</w:t>
            </w:r>
          </w:p>
        </w:tc>
        <w:tc>
          <w:tcPr>
            <w:tcW w:w="1380"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楷体" w:hAnsi="楷体" w:eastAsia="楷体" w:cs="楷体"/>
                <w:i w:val="0"/>
                <w:iCs w:val="0"/>
                <w:caps w:val="0"/>
                <w:color w:val="444444"/>
                <w:spacing w:val="0"/>
                <w:sz w:val="28"/>
                <w:szCs w:val="28"/>
                <w:bdr w:val="none" w:color="auto" w:sz="0" w:space="0"/>
              </w:rPr>
              <w:t>实际支出（万元）</w:t>
            </w:r>
          </w:p>
        </w:tc>
        <w:tc>
          <w:tcPr>
            <w:tcW w:w="1370"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楷体" w:hAnsi="楷体" w:eastAsia="楷体" w:cs="楷体"/>
                <w:i w:val="0"/>
                <w:iCs w:val="0"/>
                <w:caps w:val="0"/>
                <w:color w:val="444444"/>
                <w:spacing w:val="0"/>
                <w:sz w:val="28"/>
                <w:szCs w:val="28"/>
                <w:bdr w:val="none" w:color="auto" w:sz="0" w:space="0"/>
              </w:rPr>
              <w:t>结余资金（万元）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58"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中央财政</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93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38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37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35"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省级财政</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783.202</w:t>
            </w:r>
          </w:p>
        </w:tc>
        <w:tc>
          <w:tcPr>
            <w:tcW w:w="193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783.202</w:t>
            </w:r>
          </w:p>
        </w:tc>
        <w:tc>
          <w:tcPr>
            <w:tcW w:w="138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783.202</w:t>
            </w:r>
          </w:p>
        </w:tc>
        <w:tc>
          <w:tcPr>
            <w:tcW w:w="137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71"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市级财政</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802.69</w:t>
            </w:r>
          </w:p>
        </w:tc>
        <w:tc>
          <w:tcPr>
            <w:tcW w:w="193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802.69</w:t>
            </w:r>
          </w:p>
        </w:tc>
        <w:tc>
          <w:tcPr>
            <w:tcW w:w="138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802.69</w:t>
            </w:r>
          </w:p>
        </w:tc>
        <w:tc>
          <w:tcPr>
            <w:tcW w:w="137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77"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县（市区）资金</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93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38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37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12"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其他配套资金</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93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38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c>
          <w:tcPr>
            <w:tcW w:w="137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67" w:hRule="atLeast"/>
        </w:trPr>
        <w:tc>
          <w:tcPr>
            <w:tcW w:w="78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eastAsia" w:ascii="微软雅黑" w:hAnsi="微软雅黑" w:eastAsia="微软雅黑" w:cs="微软雅黑"/>
                <w:i w:val="0"/>
                <w:iCs w:val="0"/>
                <w:caps w:val="0"/>
                <w:color w:val="444444"/>
                <w:spacing w:val="0"/>
                <w:sz w:val="24"/>
                <w:szCs w:val="24"/>
              </w:rPr>
            </w:pPr>
          </w:p>
        </w:tc>
        <w:tc>
          <w:tcPr>
            <w:tcW w:w="2765"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合  计</w:t>
            </w:r>
          </w:p>
        </w:tc>
        <w:tc>
          <w:tcPr>
            <w:tcW w:w="1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1585.892</w:t>
            </w:r>
          </w:p>
        </w:tc>
        <w:tc>
          <w:tcPr>
            <w:tcW w:w="193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1585.892</w:t>
            </w:r>
          </w:p>
        </w:tc>
        <w:tc>
          <w:tcPr>
            <w:tcW w:w="1380"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eastAsia" w:ascii="楷体" w:hAnsi="楷体" w:eastAsia="楷体" w:cs="楷体"/>
                <w:i w:val="0"/>
                <w:iCs w:val="0"/>
                <w:caps w:val="0"/>
                <w:color w:val="444444"/>
                <w:spacing w:val="0"/>
                <w:sz w:val="28"/>
                <w:szCs w:val="28"/>
                <w:bdr w:val="none" w:color="auto" w:sz="0" w:space="0"/>
              </w:rPr>
              <w:t>1585.892</w:t>
            </w:r>
          </w:p>
        </w:tc>
        <w:tc>
          <w:tcPr>
            <w:tcW w:w="137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444444"/>
                <w:spacing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11" w:hRule="atLeast"/>
        </w:trPr>
        <w:tc>
          <w:tcPr>
            <w:tcW w:w="1052" w:type="dxa"/>
            <w:gridSpan w:val="2"/>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eastAsia" w:ascii="楷体" w:hAnsi="楷体" w:eastAsia="楷体" w:cs="楷体"/>
                <w:i w:val="0"/>
                <w:iCs w:val="0"/>
                <w:caps w:val="0"/>
                <w:color w:val="444444"/>
                <w:spacing w:val="0"/>
                <w:sz w:val="28"/>
                <w:szCs w:val="28"/>
                <w:bdr w:val="none" w:color="auto" w:sz="0" w:space="0"/>
              </w:rPr>
              <w:t>产出成果</w:t>
            </w:r>
          </w:p>
        </w:tc>
        <w:tc>
          <w:tcPr>
            <w:tcW w:w="8613" w:type="dxa"/>
            <w:gridSpan w:val="7"/>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pPr>
            <w:r>
              <w:rPr>
                <w:rFonts w:hint="eastAsia" w:ascii="楷体" w:hAnsi="楷体" w:eastAsia="楷体" w:cs="楷体"/>
                <w:i w:val="0"/>
                <w:iCs w:val="0"/>
                <w:caps w:val="0"/>
                <w:color w:val="444444"/>
                <w:spacing w:val="0"/>
                <w:sz w:val="30"/>
                <w:szCs w:val="30"/>
                <w:bdr w:val="none" w:color="auto" w:sz="0" w:space="0"/>
              </w:rPr>
              <w:t>我局专项支出合规合理成效显著，效能突出，最大限度地保障财政资金的使用效率，实现了年初制定专项支出绩效目标，为市场监督管理机关依法履职提供了财力保障，在全市统筹推进疫情防控和经济社会发展的大局中作出了积极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904" w:hRule="atLeast"/>
        </w:trPr>
        <w:tc>
          <w:tcPr>
            <w:tcW w:w="1052" w:type="dxa"/>
            <w:gridSpan w:val="2"/>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eastAsia" w:ascii="楷体" w:hAnsi="楷体" w:eastAsia="楷体" w:cs="楷体"/>
                <w:i w:val="0"/>
                <w:iCs w:val="0"/>
                <w:caps w:val="0"/>
                <w:color w:val="444444"/>
                <w:spacing w:val="0"/>
                <w:sz w:val="28"/>
                <w:szCs w:val="28"/>
                <w:bdr w:val="none" w:color="auto" w:sz="0" w:space="0"/>
              </w:rPr>
              <w:t>产出效益</w:t>
            </w:r>
          </w:p>
        </w:tc>
        <w:tc>
          <w:tcPr>
            <w:tcW w:w="8613" w:type="dxa"/>
            <w:gridSpan w:val="7"/>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1.步步为营推改革，在激发市场活力上实现新突破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我市商事制度改革紧跟全国全省的改革步伐，既全面落实了上级改革的共性要求，又创新推出了一些切合邵阳实际的特色举措，“证照分离”“一件事一次办”“全程电子化”等诸多改革举措全部落地生根、开花结果。预计到年底，邵阳市市场主体总量将达到35.6万户，全年新增达6.5万户，总量、增量分别排全省第4位、第3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全面优化审批流程。进一步简化企业开办环节，仅保留企业登记、公章刻制、发票申领3个流程，并在政务服务大厅设立服务台，配备专门人员，为企业和群众办事提供全程咨询、引导和帮办服务。积极探索“证照分离”改革，推进其从重点园区向一般园区拓展，从市场监管所涉登记许可事项向多部门审批业务事项延伸，着力解决“办照容易办证难”“准入不准营”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全力推广线上登记。大力支持各类企业登录企业登记全程电子化业务系统，在线申请办理企业登记业务，无须再到登记窗口递交纸质材料，只要材料齐全，符合法定形式，网上登记实现了秒办秒批。今年企业全程电子化登记比例达到85%，居全省第3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全速下放登记权限。为贯彻落实国务院《优化营商环境条例》，我们第一时间将注册资本1000万元以下的市区企业登记权限，按属地管理原则下放至各区市场监管局，更好地方便群众就近就地办理登记注册手续。目前，邵阳市企业平均开办时间已压缩至3天以内，其中企业设立登记时间已压缩至1天以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2.环环相扣防风险，在守护安全底线上展现新作为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一年来，我们聚焦源头严防、过程严管、风险严控，全力保障人民群众买得放心、用得放心、吃得放心。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最严管控食品安全风险。围绕重点领域、重点环节和重点品种，重点开展了校园食品安全、保健品市场、大米生产经营、酒类产品、固体饮料、桶装饮用水、放心早餐、进口水产品等八个方面的专项整治，监督检查生产经营企业3025家次。对进口肉品和高中风险领域的肉品、场所及直接接触人员开展了核酸检测，共配合完成冷链食品、从业人员和环境核酸样本检测4959份，其中城区完成核酸检测1679份，检测结果均为阴性。市本级共抽检食品394批次，其中合格379批次，合格率为96.2%，不合格15批次，不合格率为3.8%。</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切实加强药品安全监管。组织开展中药饮片、防疫用品、化妆品等专项行动，深入排查和治理安全隐患，依法严厉打击药品违法违规行为，取得明显成效。今年全市系统检查药品生产经营企业6289家次，依法查处药品违法违规案件84起，罚没金额89.29万元。市局安排抽样经费111万元，完成药品、化妆品抽样297批次。市级药品、化妆品抽检覆盖全市各县市区。同时，配合完成国家级和省级药品抽样128批次、化妆品抽样51批次、医疗器械抽样12批次。采取日常检查、专项检查等方式，对疾病预防控制机构、接种单位进行检查，检查覆盖率达100%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高度重视特种设备安全。以保民生、保稳定、保安全为主线，相继开展年关守护、春雷行动、电梯安全、城镇燃气管道、气瓶充装等专项整治。累计检查单位2830家，发现安全隐患895处，整改隐患882处，下达监察指令729份，查封扣押145台，处理投诉84起，立案查处183起，罚款322万元。对电梯维保单位质量评价为C类的7家单位、电梯定检率&lt;90%、一次性合格率小于70%的3家单位开展了集体约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4）时刻紧盯重点工业产品。持续加强工业产品和日用消费品质量监督抽查，截至目前，国家及省级共监督抽查398批次，市级监督抽查210余批次，不合格产品涉及学生用品、纤维制品、取暖器、车用汽油、复混肥、安全帽、细木工板、冷轧带肋钢筋、镀锌电缆桥架等类别共34批次，我局已对监督抽查不合格的产品依法及时进行了后处理。开展了危险化学品和危险化学品包装物及容器等危化产品、学生用品等产品的隐患整治，严厉查处重点产品制假售假违法案件，共立案查处产品质量违法案件70余起，罚没金额120万余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3.孜孜不倦护公平，在规范市场秩序上取得新成效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我们整合执法力量，突出监管重点，认真开展各类专项整治和专项执法行动，一大批制假售假、虚假宣传、价格欺诈、商标侵权以及不正当竞争等违法违规行为得到严厉惩处，市场环境有效改善，为各类市场主体平等参与市场竞争创造了有利条件。一方面大范围开展专项整治。组织开展了打击假冒伪劣、无照经营、虚假广告、网络欺诈、侵犯知识产权、合同霸王条款、计量作弊和传销等专项整治行动，查处相关违法案件2658件。在12315系统“五线合一”的基础上，稳步提升消费处诉能力，全年受理消费投诉举报39324件。另一方面大力度查处典型案例。围绕重点领域、重点行业，集中优势力量查处了一批在全省全市有重要影响的案件，有效打击了违法犯罪行为，彰显了市场监管部门的执法权威，维护和促进了社会和谐稳定。典型案例国家局公布1例，省局公布10例，其中市局查处的中国建设银行有限公司邵阳市分行涉嫌只收费未服务、转嫁成本致使借款人多付价款案，罚没金额67万元；邵阳市湖南某电子商务有限公司经营未标识生产日期和保质期的一次性使用口罩案，涉案金额100余万，罚没金额21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4.层层发力提效能，在创新监管机制上探索新路径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牵头推进跨部门“双随机、一公开”监管，建立联席会议制度，加强“一单两库一平台”建设。以“双随机、一公开”为基本手段、以重点监管为补充、以信用监管为基础的新型监管机制已基本形成。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抓监管方式转变，保执法检查公平公正。我们以“进一次门、查多项事”为目标，整合日常检查、专项检查和执法监督检查，大力推进跨业务科室、跨职能部门联合监管，坚决做到随机抽取检查对象，随机选派执法人员，抽查情况及查处结果一律及时向社会公开，并在全省率先将“双随机、一公开”监管纳入市政府对市直部门绩效考核范畴。目前除涉及食品、药品、特种设备以及重点工业产品质量安全的事项外，对一般市场主体实现了“双随机、一公开”监管常态化、全覆盖，尽最大努力减少检查频次，真正做到无事不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抓年报公示督导，保企业信用及时修复。年报公示是做好信息公示、加强信用监管的重要手段，与企业正常生产经营息息相关。因受疫情影响，今年企业年报公示工作一度严重滞后，为此，我们通过电话提醒、上门指导、预警引导等方式，督促市场主体主动做好年报公示工作。同时，对于个别未依法按时年报的市场主体，我们一方面依规及时将其列入经营异常名录，一方面设法进行“一对一告知、面对面指导”，帮助企业进行补救，及时修复信用，避免被纳入严重违法和失信企业名单而受到联合惩戒，影响正常生产经营。今年我市企业年报公示率达94.21%，位居全省第2位，这是我市企业年报公示率连续5年位居全省第1位或者第2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抓包容审慎监管，保新型业态加速发展。最大限度降低夜间经济、直播带货、网络社交、跨境电商、无人零售等新经济业态准入门槛，今年共发展新经济新业态市场主体568户，同比增长48.69%。在出台的《优化营商环境市场监管30条》《关于加强和规范行政执法工作的意见(试行)》等政策文件中，明确对新经济、新业态、新模式实行“包容审慎”监管，留足发展空间，无主观故意、情节轻微、负面影响较小的违规行为，实施“柔性监管”，充分发挥行政指导、行政告诫的作用。今年以来，尚未对新经济业态进行过任何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5.久久为功促发展，在服务中心大局上贡献新力量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我们积极对接邵阳“二中心一枢纽”的发展战略，自觉将市场监管工作放到经济社会发展全局中去谋划和把握，不断在实现承接产业转移干在实处走在前列的奋斗目标中发挥职能作用，在推动高质量发展的征程中提供优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推进质量强市战略。以质量宣传、质量服务和质量监管为抓手，大力实施质量强市战略，牵头组织“质量开放日”等各类质量提升行动，推动生产经营者落实产品质量三包和补偿责任。组织开展“聚焦质量提升、建设质量强市”系列活动，全市20多个政府部门和企业参与，共收到征文建议33篇。引导企业开展质量体系认证活动，全市共有37家企业进行了质量、环境、职业健康、食品安全等体系认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加强知识产权工作。进一步强化知识产权相关政策引导和服务指导，大力支持企业开展品牌创建，推动有研发投入、无专利申请的企业实现“零”的突破，推动高新技术企业逐渐成为专利大户，我市有效注册商标总量达到42788件，今年新增有效注册商标6077件，总量和增量均排全省第2名；全市新增专利申请5753件，专利授权3719件，其中发明专利申请1740件，同比增长238.52%，排全省第3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落实企业帮扶措施。我们积极支持企业通过动产抵押、股权出质、商标权质押、专利权质押等方式进行融资担保，帮助小微企业解决融资难题。今年以来，共为企业办理动产抵押160件、股权出质98件、专利权质押5件，新增质押融资33.25亿元；深入开展供电、供水、供气等公用事业涉企收费专项清理行动，最大限度减轻企业税费负担，助力疫情防控和企业复工复产，今年累计减少企业用电成本共计7459.5万元，督促优惠市区非居民天然气费用53.3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6.面面俱到强基础，在展现队伍风貌上树立新形象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我们坚持以政治建设为统领，强化“四个意识”,深入学习贯彻习近平新时代中国特色社会主义思想和党的十九届四中、五中全会精神，在严格规范党员领导干部民主生活会、党组中心组学习、党支部主题党日活动、党员组织生活会等党内组织生活制度的基础上，重点抓好做实了三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以廉洁单位创建为契机，着力营造风清气正工作氛围。我们借助全市“廉洁单位”创建的强劲东风，不断推动全面从严治党主体责任落地落实。在组织开展上廉政党课、请专家授课、举办读书交流会等传统教育活动的基础上，充分运用高科技手段、高技术平台，打造了高互动性、高体验感、高参与度的现代化廉政教育学习平台，使廉政教育可听可观可感，并在全市进行了先进推介。举办庆祝建党99周年廉政诗文朗诵比赛，充分发挥优秀廉政诗文教育人、感化人、陶冶人、鼓舞人、激励人的积极作用，营造了全系统风清气正的良好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以综合执法改革为要求，彻底理清市区两级监管权责。在本轮内部机构改革中，市局与区局的监管执法事权划分备受关注，且在全省范围内无现成经验可借鉴。为此，我局在深入研判市场监管发展趋势，深度把握综合执法体制改革要求的基础上，广泛听取意见、反复深思酝酿，历时近一年制定出台了《市局与区局监管执法事权划分方案》的“邵阳版本”。该《方案》既全方位地明确了市局和区局执法领域，也全覆盖地界定了市局和区局监管对象，从根本上解决了对同一监管对象多层重复执法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以队伍深度融合为目标，集中开展培训竞赛系列活动。围绕食品安全、药品安全、12315五线整合等重点工作，共组织开展各项业务培训21期、培训学员2518人，举办各类知识竞赛5场、参赛选手275人。业务培训主要是通过交叉上课、心得分享等方式进行，在展现干部职工业务风采的同时，加深了彼此间的业务交流和相互了解；知识竞赛旨在鼓励业务比拼和团队合作，极大地激发干部队伍勤学善思、比学赶帮、创先争优的热情与干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661" w:hRule="atLeast"/>
        </w:trPr>
        <w:tc>
          <w:tcPr>
            <w:tcW w:w="1052" w:type="dxa"/>
            <w:gridSpan w:val="2"/>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eastAsia" w:ascii="楷体" w:hAnsi="楷体" w:eastAsia="楷体" w:cs="楷体"/>
                <w:i w:val="0"/>
                <w:iCs w:val="0"/>
                <w:caps w:val="0"/>
                <w:color w:val="444444"/>
                <w:spacing w:val="0"/>
                <w:sz w:val="28"/>
                <w:szCs w:val="28"/>
                <w:bdr w:val="none" w:color="auto" w:sz="0" w:space="0"/>
              </w:rPr>
              <w:t>自评结论</w:t>
            </w:r>
          </w:p>
        </w:tc>
        <w:tc>
          <w:tcPr>
            <w:tcW w:w="8613" w:type="dxa"/>
            <w:gridSpan w:val="7"/>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00"/>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Times New Roman" w:hAnsi="Times New Roman" w:eastAsia="微软雅黑" w:cs="Times New Roman"/>
                <w:i w:val="0"/>
                <w:iCs w:val="0"/>
                <w:caps w:val="0"/>
                <w:color w:val="444444"/>
                <w:spacing w:val="0"/>
                <w:sz w:val="20"/>
                <w:szCs w:val="2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400"/>
            </w:pPr>
            <w:r>
              <w:rPr>
                <w:rFonts w:hint="eastAsia" w:ascii="楷体" w:hAnsi="楷体" w:eastAsia="楷体" w:cs="楷体"/>
                <w:i w:val="0"/>
                <w:iCs w:val="0"/>
                <w:caps w:val="0"/>
                <w:color w:val="444444"/>
                <w:spacing w:val="0"/>
                <w:sz w:val="30"/>
                <w:szCs w:val="30"/>
                <w:bdr w:val="none" w:color="auto" w:sz="0" w:space="0"/>
              </w:rPr>
              <w:t>有  效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55" w:hRule="atLeast"/>
        </w:trPr>
        <w:tc>
          <w:tcPr>
            <w:tcW w:w="1052" w:type="dxa"/>
            <w:gridSpan w:val="2"/>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eastAsia" w:ascii="楷体" w:hAnsi="楷体" w:eastAsia="楷体" w:cs="楷体"/>
                <w:i w:val="0"/>
                <w:iCs w:val="0"/>
                <w:caps w:val="0"/>
                <w:color w:val="444444"/>
                <w:spacing w:val="0"/>
                <w:sz w:val="28"/>
                <w:szCs w:val="28"/>
                <w:bdr w:val="none" w:color="auto" w:sz="0" w:space="0"/>
              </w:rPr>
              <w:t>资金分配原则程序和方法</w:t>
            </w:r>
          </w:p>
        </w:tc>
        <w:tc>
          <w:tcPr>
            <w:tcW w:w="8613" w:type="dxa"/>
            <w:gridSpan w:val="7"/>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楷体" w:hAnsi="楷体" w:eastAsia="楷体" w:cs="楷体"/>
                <w:i w:val="0"/>
                <w:iCs w:val="0"/>
                <w:caps w:val="0"/>
                <w:color w:val="444444"/>
                <w:spacing w:val="0"/>
                <w:sz w:val="30"/>
                <w:szCs w:val="3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pPr>
            <w:r>
              <w:rPr>
                <w:rFonts w:hint="eastAsia" w:ascii="楷体" w:hAnsi="楷体" w:eastAsia="楷体" w:cs="楷体"/>
                <w:i w:val="0"/>
                <w:iCs w:val="0"/>
                <w:caps w:val="0"/>
                <w:color w:val="444444"/>
                <w:spacing w:val="0"/>
                <w:sz w:val="30"/>
                <w:szCs w:val="30"/>
                <w:bdr w:val="none" w:color="auto" w:sz="0" w:space="0"/>
              </w:rPr>
              <w:t>我局严格按照《湖南省市场监督管理专项资金管理办法》《邵阳市财政局2020年部门预算批复》《邵阳市市场监督管理局专项经费管理办法》《邵阳市市场监督管理局对中央食品药品监管补助资金绩效管理办法》《邵阳市市场监督管理局省级资金绩效管理办法》文件要求进行专项（项目）申报、审核、分配和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1" w:hRule="atLeast"/>
        </w:trPr>
        <w:tc>
          <w:tcPr>
            <w:tcW w:w="1052" w:type="dxa"/>
            <w:gridSpan w:val="2"/>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eastAsia" w:ascii="楷体" w:hAnsi="楷体" w:eastAsia="楷体" w:cs="楷体"/>
                <w:i w:val="0"/>
                <w:iCs w:val="0"/>
                <w:caps w:val="0"/>
                <w:color w:val="444444"/>
                <w:spacing w:val="0"/>
                <w:sz w:val="28"/>
                <w:szCs w:val="28"/>
                <w:bdr w:val="none" w:color="auto" w:sz="0" w:space="0"/>
              </w:rPr>
              <w:t>评价工作情况</w:t>
            </w:r>
          </w:p>
        </w:tc>
        <w:tc>
          <w:tcPr>
            <w:tcW w:w="8613" w:type="dxa"/>
            <w:gridSpan w:val="7"/>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   为全面了解我局2020年度专项资金使用情况，系统掌握专项资金使用所起到的社会效益、经济效益，环境生态效益，更好地规划下年度专项资金的安排提供依据，市局党组决定成立专项资金绩效自评工作领导小组，市局主要领导任组长，分管领导为副组长，相关科室负责人为成员。下设专项资金绩效自评工作领导小组办公室，由市局科技和财务科承担办公室具体职责。办公室负责制定专项资金绩效自评方案，督促市局相关科室和各县（市、区）局及时向省局报送专项资金绩效自评材料，总结和提出相关改进措施。项目实施单位对专项资金使用情况进行自我评价，向市局党组提交绩效自评报告，评价结果作为年度绩效考核重要内容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楷体" w:hAnsi="楷体" w:eastAsia="楷体" w:cs="楷体"/>
                <w:i w:val="0"/>
                <w:iCs w:val="0"/>
                <w:caps w:val="0"/>
                <w:color w:val="444444"/>
                <w:spacing w:val="0"/>
                <w:sz w:val="28"/>
                <w:szCs w:val="28"/>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01" w:hRule="atLeast"/>
        </w:trPr>
        <w:tc>
          <w:tcPr>
            <w:tcW w:w="1052" w:type="dxa"/>
            <w:gridSpan w:val="2"/>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pPr>
            <w:r>
              <w:rPr>
                <w:rFonts w:hint="eastAsia" w:ascii="楷体" w:hAnsi="楷体" w:eastAsia="楷体" w:cs="楷体"/>
                <w:i w:val="0"/>
                <w:iCs w:val="0"/>
                <w:caps w:val="0"/>
                <w:color w:val="444444"/>
                <w:spacing w:val="0"/>
                <w:sz w:val="28"/>
                <w:szCs w:val="28"/>
                <w:bdr w:val="none" w:color="auto" w:sz="0" w:space="0"/>
              </w:rPr>
              <w:t>问题与建议</w:t>
            </w:r>
          </w:p>
        </w:tc>
        <w:tc>
          <w:tcPr>
            <w:tcW w:w="8613" w:type="dxa"/>
            <w:gridSpan w:val="7"/>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ascii="仿宋" w:hAnsi="仿宋" w:eastAsia="仿宋" w:cs="仿宋"/>
                <w:i w:val="0"/>
                <w:iCs w:val="0"/>
                <w:caps w:val="0"/>
                <w:color w:val="444444"/>
                <w:spacing w:val="0"/>
                <w:sz w:val="32"/>
                <w:szCs w:val="32"/>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 近年来我局积极探索市场监督专项经费绩效目标管理，达到了预期的工作目标，但也存在一定的问题和不足，其主要表现为以下几个方面：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1.为了更好地统筹安排好全年的专项资金使用，应做到早谋划、早安排，并落实好责任分工，定期监督完成任务。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2.加强与项目具体实施科(股)室和单位的沟通，加强项目支出绩效运行监控，加快项目资金使用进度，提高项目资金的使用效率。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3.进一步强化项目检查验收、决算审计及投资评审工作力度；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4.进一步加强市场监管队伍的业务能力培训；尤其是绩效方面的专业知识、专业技能等。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left"/>
            </w:pPr>
            <w:r>
              <w:rPr>
                <w:rFonts w:hint="eastAsia" w:ascii="楷体" w:hAnsi="楷体" w:eastAsia="楷体" w:cs="楷体"/>
                <w:i w:val="0"/>
                <w:iCs w:val="0"/>
                <w:caps w:val="0"/>
                <w:color w:val="444444"/>
                <w:spacing w:val="0"/>
                <w:sz w:val="30"/>
                <w:szCs w:val="30"/>
                <w:bdr w:val="none" w:color="auto" w:sz="0" w:space="0"/>
              </w:rPr>
              <w:t>5.效评价资料收集不够及时完整，专项经费精细化管理还有待进一步优化。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Times New Roman" w:hAnsi="Times New Roman" w:eastAsia="微软雅黑" w:cs="Times New Roman"/>
                <w:i w:val="0"/>
                <w:iCs w:val="0"/>
                <w:caps w:val="0"/>
                <w:color w:val="444444"/>
                <w:spacing w:val="0"/>
                <w:sz w:val="24"/>
                <w:szCs w:val="24"/>
                <w:bdr w:val="none" w:color="auto" w:sz="0" w:space="0"/>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44444"/>
          <w:spacing w:val="0"/>
          <w:sz w:val="24"/>
          <w:szCs w:val="24"/>
        </w:rPr>
      </w:pPr>
      <w:r>
        <w:rPr>
          <w:rFonts w:hint="eastAsia" w:ascii="仿宋" w:hAnsi="仿宋" w:eastAsia="仿宋" w:cs="仿宋"/>
          <w:i w:val="0"/>
          <w:iCs w:val="0"/>
          <w:caps w:val="0"/>
          <w:color w:val="444444"/>
          <w:spacing w:val="0"/>
          <w:sz w:val="20"/>
          <w:szCs w:val="20"/>
          <w:bdr w:val="none" w:color="auto" w:sz="0" w:space="0"/>
          <w:shd w:val="clear" w:fill="FFFFFF"/>
        </w:rPr>
        <w:t>说明：各单位根据文字数量需要调整此表。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44444"/>
          <w:spacing w:val="0"/>
          <w:sz w:val="24"/>
          <w:szCs w:val="24"/>
        </w:rPr>
      </w:pPr>
      <w:r>
        <w:rPr>
          <w:rFonts w:hint="default" w:ascii="Times New Roman" w:hAnsi="Times New Roman" w:eastAsia="微软雅黑" w:cs="Times New Roman"/>
          <w:i w:val="0"/>
          <w:iCs w:val="0"/>
          <w:caps w:val="0"/>
          <w:color w:val="444444"/>
          <w:spacing w:val="0"/>
          <w:sz w:val="20"/>
          <w:szCs w:val="20"/>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44444"/>
          <w:spacing w:val="0"/>
          <w:sz w:val="24"/>
          <w:szCs w:val="24"/>
        </w:rPr>
      </w:pPr>
      <w:r>
        <w:rPr>
          <w:rFonts w:hint="eastAsia" w:ascii="楷体" w:hAnsi="楷体" w:eastAsia="楷体" w:cs="楷体"/>
          <w:i w:val="0"/>
          <w:iCs w:val="0"/>
          <w:caps w:val="0"/>
          <w:color w:val="444444"/>
          <w:spacing w:val="0"/>
          <w:sz w:val="32"/>
          <w:szCs w:val="32"/>
          <w:bdr w:val="none" w:color="auto" w:sz="0" w:space="0"/>
          <w:shd w:val="clear" w:fill="FFFFFF"/>
        </w:rPr>
        <w:t>单位负责人：吴卫红   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44444"/>
          <w:spacing w:val="0"/>
          <w:sz w:val="24"/>
          <w:szCs w:val="24"/>
        </w:rPr>
      </w:pPr>
      <w:r>
        <w:rPr>
          <w:rFonts w:hint="eastAsia" w:ascii="楷体" w:hAnsi="楷体" w:eastAsia="楷体" w:cs="楷体"/>
          <w:i w:val="0"/>
          <w:iCs w:val="0"/>
          <w:caps w:val="0"/>
          <w:color w:val="444444"/>
          <w:spacing w:val="0"/>
          <w:sz w:val="32"/>
          <w:szCs w:val="32"/>
          <w:bdr w:val="none" w:color="auto" w:sz="0" w:space="0"/>
          <w:shd w:val="clear" w:fill="FFFFFF"/>
        </w:rPr>
        <w:t>项目支出负责人：曾广晖   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44444"/>
          <w:spacing w:val="0"/>
          <w:sz w:val="24"/>
          <w:szCs w:val="24"/>
        </w:rPr>
      </w:pPr>
      <w:r>
        <w:rPr>
          <w:rFonts w:hint="eastAsia" w:ascii="楷体" w:hAnsi="楷体" w:eastAsia="楷体" w:cs="楷体"/>
          <w:i w:val="0"/>
          <w:iCs w:val="0"/>
          <w:caps w:val="0"/>
          <w:color w:val="444444"/>
          <w:spacing w:val="0"/>
          <w:sz w:val="32"/>
          <w:szCs w:val="32"/>
          <w:bdr w:val="none" w:color="auto" w:sz="0" w:space="0"/>
          <w:shd w:val="clear" w:fill="FFFFFF"/>
        </w:rPr>
        <w:t>评价负责人：郑时代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0NDIzYzA4YzU3M2E3MmIwYTE1OTA0OWU4NTRkNWIifQ=="/>
  </w:docVars>
  <w:rsids>
    <w:rsidRoot w:val="0BDB48A3"/>
    <w:rsid w:val="0BDB48A3"/>
    <w:rsid w:val="17F478B4"/>
    <w:rsid w:val="1A2D423F"/>
    <w:rsid w:val="1A8E0F34"/>
    <w:rsid w:val="5BEC588A"/>
    <w:rsid w:val="702B40C1"/>
    <w:rsid w:val="7C541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810</Words>
  <Characters>1055</Characters>
  <Lines>0</Lines>
  <Paragraphs>0</Paragraphs>
  <TotalTime>94</TotalTime>
  <ScaleCrop>false</ScaleCrop>
  <LinksUpToDate>false</LinksUpToDate>
  <CharactersWithSpaces>1084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2022-09-06T03:49:00Z</dcterms:created>
  <dc:creator>F.L.Y</dc:creator>
  <cp:lastModifiedBy>F.L.Y</cp:lastModifiedBy>
  <dcterms:modified xsi:type="dcterms:W3CDTF">2022-09-06T05:42:21Z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9917204677824C259DB17D8B8E9BA505</vt:lpwstr>
  </property>
</Properties>
</file>