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b w:val="0"/>
          <w:bCs w:val="0"/>
          <w:sz w:val="44"/>
          <w:szCs w:val="44"/>
        </w:rPr>
      </w:pPr>
      <w:r>
        <w:rPr>
          <w:rFonts w:hint="eastAsia" w:ascii="黑体" w:hAnsi="黑体" w:eastAsia="黑体" w:cs="黑体"/>
          <w:b w:val="0"/>
          <w:bCs w:val="0"/>
          <w:color w:val="000000"/>
          <w:sz w:val="44"/>
          <w:szCs w:val="28"/>
          <w:lang w:eastAsia="zh-CN"/>
        </w:rPr>
        <w:t>法制宣传培训</w:t>
      </w:r>
      <w:r>
        <w:rPr>
          <w:rFonts w:hint="eastAsia" w:ascii="黑体" w:hAnsi="黑体" w:eastAsia="黑体" w:cs="黑体"/>
          <w:b w:val="0"/>
          <w:bCs w:val="0"/>
          <w:color w:val="000000"/>
          <w:sz w:val="44"/>
          <w:szCs w:val="28"/>
        </w:rPr>
        <w:t>专项资金</w:t>
      </w:r>
      <w:r>
        <w:rPr>
          <w:rFonts w:hint="eastAsia" w:ascii="黑体" w:hAnsi="黑体" w:eastAsia="黑体" w:cs="黑体"/>
          <w:b w:val="0"/>
          <w:bCs w:val="0"/>
          <w:sz w:val="44"/>
          <w:szCs w:val="44"/>
        </w:rPr>
        <w:t>支出绩效自评</w:t>
      </w: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报告表</w:t>
      </w:r>
    </w:p>
    <w:p>
      <w:pPr>
        <w:spacing w:line="360" w:lineRule="auto"/>
        <w:rPr>
          <w:rFonts w:hint="eastAsia"/>
        </w:rPr>
      </w:pPr>
    </w:p>
    <w:p>
      <w:pPr>
        <w:spacing w:line="360" w:lineRule="auto"/>
        <w:rPr>
          <w:rFonts w:hint="eastAsia" w:ascii="楷体" w:hAnsi="楷体" w:eastAsia="楷体" w:cs="楷体"/>
          <w:sz w:val="32"/>
          <w:szCs w:val="32"/>
        </w:rPr>
      </w:pPr>
      <w:r>
        <w:rPr>
          <w:rFonts w:hint="eastAsia" w:ascii="楷体" w:hAnsi="楷体" w:eastAsia="楷体" w:cs="楷体"/>
          <w:sz w:val="28"/>
          <w:szCs w:val="28"/>
        </w:rPr>
        <w:t>填报单位：　</w:t>
      </w:r>
      <w:r>
        <w:rPr>
          <w:rFonts w:hint="eastAsia" w:ascii="楷体" w:hAnsi="楷体" w:eastAsia="楷体" w:cs="楷体"/>
          <w:sz w:val="28"/>
          <w:szCs w:val="28"/>
          <w:lang w:eastAsia="zh-CN"/>
        </w:rPr>
        <w:t>邵阳市财政局</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填报日期：20</w:t>
      </w:r>
      <w:r>
        <w:rPr>
          <w:rFonts w:hint="eastAsia" w:ascii="楷体" w:hAnsi="楷体" w:eastAsia="楷体" w:cs="楷体"/>
          <w:sz w:val="28"/>
          <w:szCs w:val="28"/>
          <w:lang w:val="en-US" w:eastAsia="zh-CN"/>
        </w:rPr>
        <w:t>21</w:t>
      </w:r>
      <w:r>
        <w:rPr>
          <w:rFonts w:hint="eastAsia" w:ascii="楷体" w:hAnsi="楷体" w:eastAsia="楷体" w:cs="楷体"/>
          <w:sz w:val="28"/>
          <w:szCs w:val="28"/>
        </w:rPr>
        <w:t>年</w:t>
      </w:r>
      <w:r>
        <w:rPr>
          <w:rFonts w:hint="eastAsia" w:ascii="楷体" w:hAnsi="楷体" w:eastAsia="楷体" w:cs="楷体"/>
          <w:sz w:val="28"/>
          <w:szCs w:val="28"/>
          <w:lang w:val="en-US" w:eastAsia="zh-CN"/>
        </w:rPr>
        <w:t>6</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 xml:space="preserve"> 日 </w:t>
      </w:r>
      <w:r>
        <w:rPr>
          <w:rFonts w:hint="eastAsia" w:ascii="楷体" w:hAnsi="楷体" w:eastAsia="楷体" w:cs="楷体"/>
          <w:sz w:val="32"/>
          <w:szCs w:val="32"/>
        </w:rPr>
        <w:t xml:space="preserve">  </w:t>
      </w:r>
    </w:p>
    <w:tbl>
      <w:tblPr>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621"/>
        <w:gridCol w:w="1225"/>
        <w:gridCol w:w="600"/>
        <w:gridCol w:w="1305"/>
        <w:gridCol w:w="765"/>
        <w:gridCol w:w="660"/>
        <w:gridCol w:w="1380"/>
      </w:tblGrid>
      <w:tr>
        <w:trPr>
          <w:cantSplit/>
          <w:trHeight w:val="602" w:hRule="exact"/>
          <w:jc w:val="center"/>
        </w:trPr>
        <w:tc>
          <w:tcPr>
            <w:tcW w:w="540" w:type="dxa"/>
            <w:vMerge w:val="restart"/>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 xml:space="preserve"> </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 xml:space="preserve"> </w:t>
            </w:r>
          </w:p>
          <w:p>
            <w:pPr>
              <w:spacing w:line="560" w:lineRule="exact"/>
              <w:jc w:val="center"/>
              <w:rPr>
                <w:rFonts w:ascii="楷体" w:hAnsi="楷体" w:eastAsia="楷体" w:cs="楷体"/>
                <w:sz w:val="24"/>
                <w:szCs w:val="24"/>
              </w:rPr>
            </w:pPr>
            <w:r>
              <w:rPr>
                <w:rFonts w:hint="eastAsia" w:ascii="楷体" w:hAnsi="楷体" w:eastAsia="楷体" w:cs="楷体"/>
                <w:sz w:val="24"/>
                <w:szCs w:val="24"/>
              </w:rPr>
              <w:t xml:space="preserve"> 基本情况</w:t>
            </w: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tc>
        <w:tc>
          <w:tcPr>
            <w:tcW w:w="2621" w:type="dxa"/>
            <w:vAlign w:val="center"/>
          </w:tcPr>
          <w:p>
            <w:pPr>
              <w:widowControl w:val="0"/>
              <w:wordWrap/>
              <w:adjustRightInd/>
              <w:snapToGrid/>
              <w:spacing w:line="160" w:lineRule="atLeast"/>
              <w:jc w:val="center"/>
              <w:textAlignment w:val="auto"/>
              <w:outlineLvl w:val="9"/>
              <w:rPr>
                <w:rFonts w:hint="eastAsia" w:ascii="楷体" w:hAnsi="楷体" w:eastAsia="楷体" w:cs="楷体"/>
                <w:sz w:val="24"/>
                <w:szCs w:val="24"/>
              </w:rPr>
            </w:pPr>
            <w:r>
              <w:rPr>
                <w:rFonts w:hint="eastAsia" w:ascii="楷体" w:hAnsi="楷体" w:eastAsia="楷体" w:cs="楷体"/>
                <w:sz w:val="24"/>
                <w:szCs w:val="24"/>
              </w:rPr>
              <w:t>专项（项目）名称</w:t>
            </w:r>
          </w:p>
        </w:tc>
        <w:tc>
          <w:tcPr>
            <w:tcW w:w="5935" w:type="dxa"/>
            <w:gridSpan w:val="6"/>
            <w:vAlign w:val="top"/>
          </w:tcPr>
          <w:p>
            <w:pPr>
              <w:spacing w:line="540" w:lineRule="exact"/>
              <w:jc w:val="left"/>
              <w:rPr>
                <w:rFonts w:hint="eastAsia" w:ascii="楷体" w:hAnsi="楷体" w:eastAsia="楷体" w:cs="楷体"/>
                <w:sz w:val="24"/>
                <w:szCs w:val="24"/>
                <w:lang w:eastAsia="zh-CN"/>
              </w:rPr>
            </w:pPr>
            <w:r>
              <w:rPr>
                <w:rFonts w:hint="eastAsia" w:ascii="楷体" w:hAnsi="楷体" w:eastAsia="楷体" w:cs="楷体"/>
                <w:color w:val="000000"/>
                <w:kern w:val="0"/>
                <w:sz w:val="24"/>
                <w:szCs w:val="24"/>
                <w:lang w:eastAsia="zh-CN"/>
              </w:rPr>
              <w:t>法制宣传培训经费</w:t>
            </w:r>
          </w:p>
        </w:tc>
      </w:tr>
      <w:tr>
        <w:trPr>
          <w:cantSplit/>
          <w:trHeight w:val="751"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专项（项目</w:t>
            </w:r>
            <w:r>
              <w:rPr>
                <w:rFonts w:hint="eastAsia" w:ascii="楷体" w:hAnsi="楷体" w:eastAsia="楷体" w:cs="楷体"/>
                <w:sz w:val="24"/>
                <w:szCs w:val="24"/>
                <w:lang w:eastAsia="zh-CN"/>
              </w:rPr>
              <w:t>）</w:t>
            </w:r>
            <w:r>
              <w:rPr>
                <w:rFonts w:hint="eastAsia" w:ascii="楷体" w:hAnsi="楷体" w:eastAsia="楷体" w:cs="楷体"/>
                <w:sz w:val="24"/>
                <w:szCs w:val="24"/>
              </w:rPr>
              <w:t>主要内容</w:t>
            </w:r>
          </w:p>
        </w:tc>
        <w:tc>
          <w:tcPr>
            <w:tcW w:w="5935" w:type="dxa"/>
            <w:gridSpan w:val="6"/>
            <w:vAlign w:val="top"/>
          </w:tcPr>
          <w:p>
            <w:pPr>
              <w:spacing w:line="540" w:lineRule="exact"/>
              <w:ind w:firstLine="120" w:firstLineChars="50"/>
              <w:jc w:val="left"/>
              <w:rPr>
                <w:rFonts w:hint="eastAsia" w:ascii="楷体" w:hAnsi="楷体" w:eastAsia="楷体" w:cs="楷体"/>
                <w:sz w:val="24"/>
                <w:szCs w:val="24"/>
                <w:lang w:val="en-US" w:eastAsia="zh-CN"/>
              </w:rPr>
            </w:pPr>
            <w:r>
              <w:rPr>
                <w:rFonts w:hint="eastAsia" w:ascii="楷体" w:hAnsi="楷体" w:eastAsia="楷体" w:cs="楷体"/>
                <w:color w:val="000000"/>
                <w:kern w:val="0"/>
                <w:sz w:val="24"/>
                <w:szCs w:val="24"/>
                <w:lang w:eastAsia="zh-CN"/>
              </w:rPr>
              <w:t>财政法制宣传</w:t>
            </w:r>
            <w:bookmarkStart w:id="0" w:name="_GoBack"/>
            <w:bookmarkEnd w:id="0"/>
            <w:r>
              <w:rPr>
                <w:rFonts w:hint="eastAsia" w:ascii="楷体" w:hAnsi="楷体" w:eastAsia="楷体" w:cs="楷体"/>
                <w:color w:val="000000"/>
                <w:kern w:val="0"/>
                <w:sz w:val="24"/>
                <w:szCs w:val="24"/>
                <w:lang w:eastAsia="zh-CN"/>
              </w:rPr>
              <w:t>教育培训，全面依法行政依法理财。</w:t>
            </w:r>
          </w:p>
        </w:tc>
      </w:tr>
      <w:tr>
        <w:trPr>
          <w:cantSplit/>
          <w:trHeight w:val="653"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专项（项目）单位</w:t>
            </w:r>
          </w:p>
        </w:tc>
        <w:tc>
          <w:tcPr>
            <w:tcW w:w="1825" w:type="dxa"/>
            <w:gridSpan w:val="2"/>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税政法规科</w:t>
            </w:r>
          </w:p>
        </w:tc>
        <w:tc>
          <w:tcPr>
            <w:tcW w:w="2070"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 xml:space="preserve">专项（项目） </w:t>
            </w:r>
          </w:p>
          <w:p>
            <w:pPr>
              <w:jc w:val="center"/>
              <w:rPr>
                <w:rFonts w:hint="eastAsia" w:ascii="楷体" w:hAnsi="楷体" w:eastAsia="楷体" w:cs="楷体"/>
                <w:sz w:val="24"/>
                <w:szCs w:val="24"/>
              </w:rPr>
            </w:pPr>
            <w:r>
              <w:rPr>
                <w:rFonts w:hint="eastAsia" w:ascii="楷体" w:hAnsi="楷体" w:eastAsia="楷体" w:cs="楷体"/>
                <w:sz w:val="24"/>
                <w:szCs w:val="24"/>
              </w:rPr>
              <w:t xml:space="preserve"> 主管部门</w:t>
            </w:r>
          </w:p>
        </w:tc>
        <w:tc>
          <w:tcPr>
            <w:tcW w:w="2040" w:type="dxa"/>
            <w:gridSpan w:val="2"/>
            <w:vAlign w:val="top"/>
          </w:tcPr>
          <w:p>
            <w:pPr>
              <w:spacing w:line="540" w:lineRule="exact"/>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市财政局</w:t>
            </w:r>
          </w:p>
        </w:tc>
      </w:tr>
      <w:tr>
        <w:trPr>
          <w:cantSplit/>
          <w:trHeight w:val="563"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540" w:lineRule="exact"/>
              <w:jc w:val="center"/>
              <w:rPr>
                <w:rFonts w:hint="eastAsia" w:ascii="楷体" w:hAnsi="楷体" w:eastAsia="楷体" w:cs="楷体"/>
                <w:sz w:val="24"/>
                <w:szCs w:val="24"/>
              </w:rPr>
            </w:pPr>
            <w:r>
              <w:rPr>
                <w:rFonts w:hint="eastAsia" w:ascii="楷体" w:hAnsi="楷体" w:eastAsia="楷体" w:cs="楷体"/>
                <w:sz w:val="24"/>
                <w:szCs w:val="24"/>
              </w:rPr>
              <w:t>单位负责人</w:t>
            </w:r>
          </w:p>
        </w:tc>
        <w:tc>
          <w:tcPr>
            <w:tcW w:w="1825" w:type="dxa"/>
            <w:gridSpan w:val="2"/>
            <w:vAlign w:val="center"/>
          </w:tcPr>
          <w:p>
            <w:pPr>
              <w:spacing w:line="540" w:lineRule="exac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陈刚</w:t>
            </w:r>
          </w:p>
        </w:tc>
        <w:tc>
          <w:tcPr>
            <w:tcW w:w="2070"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 xml:space="preserve">专项（项目） </w:t>
            </w:r>
          </w:p>
          <w:p>
            <w:pPr>
              <w:jc w:val="center"/>
              <w:rPr>
                <w:rFonts w:hint="eastAsia" w:ascii="楷体" w:hAnsi="楷体" w:eastAsia="楷体" w:cs="楷体"/>
                <w:sz w:val="24"/>
                <w:szCs w:val="24"/>
              </w:rPr>
            </w:pPr>
            <w:r>
              <w:rPr>
                <w:rFonts w:hint="eastAsia" w:ascii="楷体" w:hAnsi="楷体" w:eastAsia="楷体" w:cs="楷体"/>
                <w:sz w:val="24"/>
                <w:szCs w:val="24"/>
              </w:rPr>
              <w:t xml:space="preserve"> 负责人</w:t>
            </w:r>
          </w:p>
        </w:tc>
        <w:tc>
          <w:tcPr>
            <w:tcW w:w="2040" w:type="dxa"/>
            <w:gridSpan w:val="2"/>
            <w:vAlign w:val="top"/>
          </w:tcPr>
          <w:p>
            <w:pPr>
              <w:spacing w:line="540" w:lineRule="exact"/>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陈刚</w:t>
            </w:r>
          </w:p>
        </w:tc>
      </w:tr>
      <w:tr>
        <w:trPr>
          <w:cantSplit/>
          <w:trHeight w:val="649"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专项（项目）属性</w:t>
            </w:r>
          </w:p>
        </w:tc>
        <w:tc>
          <w:tcPr>
            <w:tcW w:w="5935" w:type="dxa"/>
            <w:gridSpan w:val="6"/>
            <w:vAlign w:val="top"/>
          </w:tcPr>
          <w:p>
            <w:pPr>
              <w:spacing w:line="540" w:lineRule="exact"/>
              <w:jc w:val="left"/>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lang w:eastAsia="zh-CN"/>
              </w:rPr>
              <w:t>☑</w:t>
            </w:r>
            <w:r>
              <w:rPr>
                <w:rFonts w:hint="eastAsia" w:ascii="楷体" w:hAnsi="楷体" w:eastAsia="楷体" w:cs="楷体"/>
                <w:sz w:val="24"/>
                <w:szCs w:val="24"/>
              </w:rPr>
              <w:t>经常性　　</w:t>
            </w:r>
            <w:r>
              <w:rPr>
                <w:rFonts w:hint="eastAsia" w:ascii="楷体" w:hAnsi="楷体" w:eastAsia="楷体" w:cs="楷体"/>
                <w:sz w:val="24"/>
                <w:szCs w:val="24"/>
                <w:lang w:eastAsia="zh-CN"/>
              </w:rPr>
              <w:t>□</w:t>
            </w:r>
            <w:r>
              <w:rPr>
                <w:rFonts w:hint="eastAsia" w:ascii="楷体" w:hAnsi="楷体" w:eastAsia="楷体" w:cs="楷体"/>
                <w:sz w:val="24"/>
                <w:szCs w:val="24"/>
              </w:rPr>
              <w:t>一次性　　□新增　　□延续</w:t>
            </w:r>
          </w:p>
        </w:tc>
      </w:tr>
      <w:tr>
        <w:trPr>
          <w:cantSplit/>
          <w:trHeight w:val="941"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 xml:space="preserve">资金总额  </w:t>
            </w:r>
          </w:p>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及构成</w:t>
            </w:r>
          </w:p>
        </w:tc>
        <w:tc>
          <w:tcPr>
            <w:tcW w:w="5935" w:type="dxa"/>
            <w:gridSpan w:val="6"/>
            <w:vAlign w:val="top"/>
          </w:tcPr>
          <w:p>
            <w:pPr>
              <w:spacing w:line="440" w:lineRule="exact"/>
              <w:jc w:val="left"/>
              <w:rPr>
                <w:rFonts w:hint="eastAsia" w:ascii="楷体" w:hAnsi="楷体" w:eastAsia="楷体" w:cs="楷体"/>
                <w:sz w:val="24"/>
                <w:szCs w:val="24"/>
              </w:rPr>
            </w:pPr>
            <w:r>
              <w:rPr>
                <w:rFonts w:hint="eastAsia" w:ascii="楷体" w:hAnsi="楷体" w:eastAsia="楷体" w:cs="楷体"/>
                <w:sz w:val="24"/>
                <w:szCs w:val="24"/>
              </w:rPr>
              <w:t>资金总额：</w:t>
            </w:r>
            <w:r>
              <w:rPr>
                <w:rFonts w:hint="eastAsia" w:ascii="楷体" w:hAnsi="楷体" w:eastAsia="楷体" w:cs="楷体"/>
                <w:sz w:val="24"/>
                <w:szCs w:val="24"/>
                <w:lang w:val="en-US" w:eastAsia="zh-CN"/>
              </w:rPr>
              <w:t>3.36</w:t>
            </w:r>
            <w:r>
              <w:rPr>
                <w:rFonts w:hint="eastAsia" w:ascii="楷体" w:hAnsi="楷体" w:eastAsia="楷体" w:cs="楷体"/>
                <w:sz w:val="24"/>
                <w:szCs w:val="24"/>
              </w:rPr>
              <w:t xml:space="preserve">万元，其中：本年资金 </w:t>
            </w:r>
            <w:r>
              <w:rPr>
                <w:rFonts w:hint="eastAsia" w:ascii="楷体" w:hAnsi="楷体" w:eastAsia="楷体" w:cs="楷体"/>
                <w:sz w:val="24"/>
                <w:szCs w:val="24"/>
                <w:lang w:val="en-US" w:eastAsia="zh-CN"/>
              </w:rPr>
              <w:t>3.36</w:t>
            </w:r>
            <w:r>
              <w:rPr>
                <w:rFonts w:hint="eastAsia" w:ascii="楷体" w:hAnsi="楷体" w:eastAsia="楷体" w:cs="楷体"/>
                <w:sz w:val="24"/>
                <w:szCs w:val="24"/>
              </w:rPr>
              <w:t>万元（1、省级财政0万元；2、市级财政</w:t>
            </w:r>
            <w:r>
              <w:rPr>
                <w:rFonts w:hint="eastAsia" w:ascii="楷体" w:hAnsi="楷体" w:eastAsia="楷体" w:cs="楷体"/>
                <w:sz w:val="24"/>
                <w:szCs w:val="24"/>
                <w:lang w:val="en-US" w:eastAsia="zh-CN"/>
              </w:rPr>
              <w:t>3.36</w:t>
            </w:r>
            <w:r>
              <w:rPr>
                <w:rFonts w:hint="eastAsia" w:ascii="楷体" w:hAnsi="楷体" w:eastAsia="楷体" w:cs="楷体"/>
                <w:sz w:val="24"/>
                <w:szCs w:val="24"/>
              </w:rPr>
              <w:t>万元；3、其他0万元）</w:t>
            </w:r>
          </w:p>
        </w:tc>
      </w:tr>
      <w:tr>
        <w:trPr>
          <w:cantSplit/>
          <w:trHeight w:val="605"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 xml:space="preserve">专项（项目） </w:t>
            </w:r>
          </w:p>
          <w:p>
            <w:pPr>
              <w:jc w:val="center"/>
              <w:rPr>
                <w:rFonts w:hint="eastAsia" w:ascii="楷体" w:hAnsi="楷体" w:eastAsia="楷体" w:cs="楷体"/>
                <w:sz w:val="24"/>
                <w:szCs w:val="24"/>
              </w:rPr>
            </w:pPr>
            <w:r>
              <w:rPr>
                <w:rFonts w:hint="eastAsia" w:ascii="楷体" w:hAnsi="楷体" w:eastAsia="楷体" w:cs="楷体"/>
                <w:sz w:val="24"/>
                <w:szCs w:val="24"/>
              </w:rPr>
              <w:t xml:space="preserve"> 起止时间</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20</w:t>
            </w:r>
            <w:r>
              <w:rPr>
                <w:rFonts w:hint="eastAsia" w:ascii="楷体" w:hAnsi="楷体" w:eastAsia="楷体" w:cs="楷体"/>
                <w:sz w:val="24"/>
                <w:szCs w:val="24"/>
                <w:lang w:val="en-US" w:eastAsia="zh-CN"/>
              </w:rPr>
              <w:t>20</w:t>
            </w:r>
            <w:r>
              <w:rPr>
                <w:rFonts w:hint="eastAsia" w:ascii="楷体" w:hAnsi="楷体" w:eastAsia="楷体" w:cs="楷体"/>
                <w:sz w:val="24"/>
                <w:szCs w:val="24"/>
              </w:rPr>
              <w:t>年1月起至20</w:t>
            </w:r>
            <w:r>
              <w:rPr>
                <w:rFonts w:hint="eastAsia" w:ascii="楷体" w:hAnsi="楷体" w:eastAsia="楷体" w:cs="楷体"/>
                <w:sz w:val="24"/>
                <w:szCs w:val="24"/>
                <w:lang w:val="en-US" w:eastAsia="zh-CN"/>
              </w:rPr>
              <w:t>20</w:t>
            </w:r>
            <w:r>
              <w:rPr>
                <w:rFonts w:hint="eastAsia" w:ascii="楷体" w:hAnsi="楷体" w:eastAsia="楷体" w:cs="楷体"/>
                <w:sz w:val="24"/>
                <w:szCs w:val="24"/>
              </w:rPr>
              <w:t>年12月止</w:t>
            </w:r>
          </w:p>
        </w:tc>
      </w:tr>
      <w:tr>
        <w:trPr>
          <w:cantSplit/>
          <w:trHeight w:val="455" w:hRule="exact"/>
          <w:jc w:val="center"/>
        </w:trPr>
        <w:tc>
          <w:tcPr>
            <w:tcW w:w="540" w:type="dxa"/>
            <w:vMerge w:val="restart"/>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实施情况</w:t>
            </w: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立项依据</w:t>
            </w:r>
          </w:p>
        </w:tc>
        <w:tc>
          <w:tcPr>
            <w:tcW w:w="5935" w:type="dxa"/>
            <w:gridSpan w:val="6"/>
            <w:vAlign w:val="center"/>
          </w:tcPr>
          <w:p>
            <w:pPr>
              <w:spacing w:line="560" w:lineRule="exact"/>
              <w:jc w:val="left"/>
              <w:rPr>
                <w:rFonts w:hint="eastAsia" w:ascii="楷体" w:hAnsi="楷体" w:eastAsia="楷体" w:cs="楷体"/>
                <w:sz w:val="21"/>
                <w:szCs w:val="21"/>
              </w:rPr>
            </w:pPr>
            <w:r>
              <w:rPr>
                <w:rFonts w:hint="eastAsia" w:ascii="楷体" w:hAnsi="楷体" w:eastAsia="楷体" w:cs="楷体"/>
                <w:sz w:val="21"/>
                <w:szCs w:val="21"/>
              </w:rPr>
              <w:t>财法（2016）5号、湘财税（2016）31号、邵司通法（2020）7号</w:t>
            </w:r>
          </w:p>
        </w:tc>
      </w:tr>
      <w:tr>
        <w:trPr>
          <w:cantSplit/>
          <w:trHeight w:val="679"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可行性研究报告结论</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lang w:eastAsia="zh-CN"/>
              </w:rPr>
              <w:t>《湖南省法治政府建设实施纲要（</w:t>
            </w:r>
            <w:r>
              <w:rPr>
                <w:rFonts w:hint="eastAsia" w:ascii="楷体" w:hAnsi="楷体" w:eastAsia="楷体" w:cs="楷体"/>
                <w:sz w:val="24"/>
                <w:szCs w:val="24"/>
                <w:lang w:val="en-US" w:eastAsia="zh-CN"/>
              </w:rPr>
              <w:t>2015-2020年</w:t>
            </w:r>
            <w:r>
              <w:rPr>
                <w:rFonts w:hint="eastAsia" w:ascii="楷体" w:hAnsi="楷体" w:eastAsia="楷体" w:cs="楷体"/>
                <w:sz w:val="24"/>
                <w:szCs w:val="24"/>
                <w:lang w:eastAsia="zh-CN"/>
              </w:rPr>
              <w:t>）实施方案》</w:t>
            </w:r>
          </w:p>
        </w:tc>
      </w:tr>
      <w:tr>
        <w:trPr>
          <w:cantSplit/>
          <w:trHeight w:val="445"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专家评审论证结论</w:t>
            </w:r>
          </w:p>
        </w:tc>
        <w:tc>
          <w:tcPr>
            <w:tcW w:w="5935" w:type="dxa"/>
            <w:gridSpan w:val="6"/>
            <w:vAlign w:val="top"/>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无</w:t>
            </w:r>
          </w:p>
        </w:tc>
      </w:tr>
      <w:tr>
        <w:trPr>
          <w:cantSplit/>
          <w:trHeight w:val="794"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是否实施政府采购及金额</w:t>
            </w: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tc>
        <w:tc>
          <w:tcPr>
            <w:tcW w:w="5935" w:type="dxa"/>
            <w:gridSpan w:val="6"/>
            <w:vAlign w:val="top"/>
          </w:tcPr>
          <w:p>
            <w:pPr>
              <w:spacing w:line="360" w:lineRule="exac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 xml:space="preserve">是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eastAsia="zh-CN"/>
              </w:rPr>
              <w:t>☑</w:t>
            </w:r>
            <w:r>
              <w:rPr>
                <w:rFonts w:hint="eastAsia" w:ascii="楷体" w:hAnsi="楷体" w:eastAsia="楷体" w:cs="楷体"/>
                <w:sz w:val="24"/>
                <w:szCs w:val="24"/>
              </w:rPr>
              <w:t xml:space="preserve">否   </w:t>
            </w:r>
            <w:r>
              <w:rPr>
                <w:rFonts w:hint="eastAsia" w:ascii="楷体" w:hAnsi="楷体" w:eastAsia="楷体" w:cs="楷体"/>
                <w:sz w:val="24"/>
                <w:szCs w:val="24"/>
              </w:rPr>
              <w:br/>
            </w:r>
            <w:r>
              <w:rPr>
                <w:rFonts w:hint="eastAsia" w:ascii="楷体" w:hAnsi="楷体" w:eastAsia="楷体" w:cs="楷体"/>
                <w:sz w:val="24"/>
                <w:szCs w:val="24"/>
              </w:rPr>
              <w:t>应采购金额</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万元        实际采购金额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万元</w:t>
            </w:r>
          </w:p>
        </w:tc>
      </w:tr>
      <w:tr>
        <w:trPr>
          <w:cantSplit/>
          <w:trHeight w:val="609"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是否实行招投标</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 xml:space="preserve">是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eastAsia="zh-CN"/>
              </w:rPr>
              <w:t>☑</w:t>
            </w:r>
            <w:r>
              <w:rPr>
                <w:rFonts w:hint="eastAsia" w:ascii="楷体" w:hAnsi="楷体" w:eastAsia="楷体" w:cs="楷体"/>
                <w:sz w:val="24"/>
                <w:szCs w:val="24"/>
              </w:rPr>
              <w:t>否</w:t>
            </w:r>
          </w:p>
        </w:tc>
      </w:tr>
      <w:tr>
        <w:trPr>
          <w:cantSplit/>
          <w:trHeight w:val="571"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widowControl w:val="0"/>
              <w:wordWrap/>
              <w:adjustRightInd/>
              <w:snapToGrid/>
              <w:spacing w:line="300" w:lineRule="exact"/>
              <w:jc w:val="center"/>
              <w:textAlignment w:val="auto"/>
              <w:rPr>
                <w:rFonts w:hint="eastAsia" w:ascii="楷体" w:hAnsi="楷体" w:eastAsia="楷体" w:cs="楷体"/>
                <w:sz w:val="24"/>
                <w:szCs w:val="24"/>
              </w:rPr>
            </w:pPr>
            <w:r>
              <w:rPr>
                <w:rFonts w:hint="eastAsia" w:ascii="楷体" w:hAnsi="楷体" w:eastAsia="楷体" w:cs="楷体"/>
                <w:sz w:val="24"/>
                <w:szCs w:val="24"/>
              </w:rPr>
              <w:t>实行国库集中支付</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是　                  　□否</w:t>
            </w:r>
          </w:p>
        </w:tc>
      </w:tr>
      <w:tr>
        <w:trPr>
          <w:cantSplit/>
          <w:trHeight w:val="644"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是否实行资金报账制</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是　                  　□否</w:t>
            </w:r>
          </w:p>
        </w:tc>
      </w:tr>
      <w:tr>
        <w:trPr>
          <w:cantSplit/>
          <w:trHeight w:val="616"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widowControl w:val="0"/>
              <w:wordWrap/>
              <w:adjustRightInd/>
              <w:snapToGrid/>
              <w:spacing w:line="3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是否实行工程代理和投资评审制</w:t>
            </w:r>
          </w:p>
          <w:p>
            <w:pPr>
              <w:spacing w:line="400" w:lineRule="exact"/>
              <w:jc w:val="center"/>
              <w:rPr>
                <w:rFonts w:hint="eastAsia" w:ascii="楷体" w:hAnsi="楷体" w:eastAsia="楷体" w:cs="楷体"/>
                <w:sz w:val="24"/>
                <w:szCs w:val="24"/>
              </w:rPr>
            </w:pP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eastAsia="zh-CN"/>
              </w:rPr>
              <w:t>☑</w:t>
            </w:r>
            <w:r>
              <w:rPr>
                <w:rFonts w:hint="eastAsia" w:ascii="楷体" w:hAnsi="楷体" w:eastAsia="楷体" w:cs="楷体"/>
                <w:sz w:val="24"/>
                <w:szCs w:val="24"/>
              </w:rPr>
              <w:t>否</w:t>
            </w:r>
          </w:p>
        </w:tc>
      </w:tr>
      <w:tr>
        <w:trPr>
          <w:cantSplit/>
          <w:trHeight w:val="580"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是否实行合同管理制</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是　　                 □否</w:t>
            </w:r>
          </w:p>
          <w:p>
            <w:pPr>
              <w:spacing w:line="560" w:lineRule="exact"/>
              <w:jc w:val="left"/>
              <w:rPr>
                <w:rFonts w:hint="eastAsia" w:ascii="楷体" w:hAnsi="楷体" w:eastAsia="楷体" w:cs="楷体"/>
                <w:sz w:val="24"/>
                <w:szCs w:val="24"/>
              </w:rPr>
            </w:pPr>
          </w:p>
        </w:tc>
      </w:tr>
      <w:tr>
        <w:trPr>
          <w:cantSplit/>
          <w:trHeight w:val="775"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是否实行财政双控账户管理</w:t>
            </w:r>
          </w:p>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管理</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eastAsia="zh-CN"/>
              </w:rPr>
              <w:t>☑</w:t>
            </w:r>
            <w:r>
              <w:rPr>
                <w:rFonts w:hint="eastAsia" w:ascii="楷体" w:hAnsi="楷体" w:eastAsia="楷体" w:cs="楷体"/>
                <w:sz w:val="24"/>
                <w:szCs w:val="24"/>
              </w:rPr>
              <w:t>否</w:t>
            </w:r>
          </w:p>
        </w:tc>
      </w:tr>
      <w:tr>
        <w:trPr>
          <w:cantSplit/>
          <w:trHeight w:val="770"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是否实行财政专户管理</w:t>
            </w:r>
          </w:p>
        </w:tc>
        <w:tc>
          <w:tcPr>
            <w:tcW w:w="5935" w:type="dxa"/>
            <w:gridSpan w:val="6"/>
            <w:vAlign w:val="top"/>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lang w:eastAsia="zh-CN"/>
              </w:rPr>
              <w:t>☑</w:t>
            </w:r>
            <w:r>
              <w:rPr>
                <w:rFonts w:hint="eastAsia" w:ascii="楷体" w:hAnsi="楷体" w:eastAsia="楷体" w:cs="楷体"/>
                <w:sz w:val="24"/>
                <w:szCs w:val="24"/>
              </w:rPr>
              <w:t>否</w:t>
            </w:r>
          </w:p>
        </w:tc>
      </w:tr>
      <w:tr>
        <w:trPr>
          <w:cantSplit/>
          <w:trHeight w:val="767" w:hRule="exact"/>
          <w:jc w:val="center"/>
        </w:trPr>
        <w:tc>
          <w:tcPr>
            <w:tcW w:w="540" w:type="dxa"/>
            <w:vMerge w:val="restart"/>
            <w:vAlign w:val="center"/>
          </w:tcPr>
          <w:p>
            <w:pPr>
              <w:spacing w:line="440" w:lineRule="exact"/>
              <w:jc w:val="center"/>
              <w:rPr>
                <w:rFonts w:hint="eastAsia" w:ascii="楷体" w:hAnsi="楷体" w:eastAsia="楷体" w:cs="楷体"/>
                <w:sz w:val="24"/>
                <w:szCs w:val="24"/>
              </w:rPr>
            </w:pPr>
            <w:r>
              <w:rPr>
                <w:rFonts w:hint="eastAsia" w:ascii="楷体" w:hAnsi="楷体" w:eastAsia="楷体" w:cs="楷体"/>
                <w:sz w:val="24"/>
                <w:szCs w:val="24"/>
              </w:rPr>
              <w:t>管理情况</w:t>
            </w: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 xml:space="preserve">管理制度    </w:t>
            </w:r>
          </w:p>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和办法名称</w:t>
            </w:r>
          </w:p>
        </w:tc>
        <w:tc>
          <w:tcPr>
            <w:tcW w:w="5935" w:type="dxa"/>
            <w:gridSpan w:val="6"/>
            <w:vAlign w:val="center"/>
          </w:tcPr>
          <w:p>
            <w:pPr>
              <w:spacing w:line="360" w:lineRule="exact"/>
              <w:jc w:val="center"/>
              <w:rPr>
                <w:rFonts w:hint="eastAsia" w:ascii="楷体" w:hAnsi="楷体" w:eastAsia="仿宋" w:cs="楷体"/>
                <w:sz w:val="24"/>
                <w:szCs w:val="24"/>
                <w:lang w:val="en-US" w:eastAsia="zh-CN"/>
              </w:rPr>
            </w:pPr>
            <w:r>
              <w:rPr>
                <w:rFonts w:hint="eastAsia" w:ascii="楷体" w:hAnsi="楷体" w:eastAsia="楷体" w:cs="楷体"/>
                <w:sz w:val="24"/>
                <w:szCs w:val="24"/>
              </w:rPr>
              <w:t>邵阳市财政局法制联络员工作制度</w:t>
            </w:r>
          </w:p>
        </w:tc>
      </w:tr>
      <w:tr>
        <w:trPr>
          <w:cantSplit/>
          <w:trHeight w:val="805"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具体工作措施</w:t>
            </w:r>
          </w:p>
        </w:tc>
        <w:tc>
          <w:tcPr>
            <w:tcW w:w="5935" w:type="dxa"/>
            <w:gridSpan w:val="6"/>
            <w:vAlign w:val="center"/>
          </w:tcPr>
          <w:p>
            <w:pPr>
              <w:ind w:firstLine="108" w:firstLineChars="50"/>
              <w:jc w:val="center"/>
              <w:rPr>
                <w:rFonts w:hint="eastAsia" w:ascii="楷体" w:hAnsi="楷体" w:eastAsia="楷体" w:cs="楷体"/>
                <w:sz w:val="24"/>
                <w:szCs w:val="24"/>
              </w:rPr>
            </w:pPr>
            <w:r>
              <w:rPr>
                <w:rFonts w:hint="eastAsia" w:ascii="楷体" w:hAnsi="楷体" w:eastAsia="楷体" w:cs="楷体"/>
                <w:w w:val="90"/>
                <w:sz w:val="24"/>
                <w:szCs w:val="24"/>
                <w:lang w:val="en-US" w:eastAsia="zh-CN"/>
              </w:rPr>
              <w:t>《全市财政法制宣传教育第七个五个规划（2016-2020年）》、</w:t>
            </w:r>
            <w:r>
              <w:rPr>
                <w:rFonts w:hint="eastAsia" w:ascii="楷体" w:hAnsi="楷体" w:eastAsia="楷体" w:cs="楷体"/>
                <w:sz w:val="24"/>
                <w:szCs w:val="24"/>
                <w:lang w:val="en-US" w:eastAsia="zh-CN"/>
              </w:rPr>
              <w:t>2020年全市财政法治宣传教育工作计划</w:t>
            </w:r>
          </w:p>
        </w:tc>
      </w:tr>
      <w:tr>
        <w:trPr>
          <w:cantSplit/>
          <w:trHeight w:val="1221"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专项（项目）调整内容及报批程序和手续</w:t>
            </w:r>
          </w:p>
        </w:tc>
        <w:tc>
          <w:tcPr>
            <w:tcW w:w="5935" w:type="dxa"/>
            <w:gridSpan w:val="6"/>
            <w:vAlign w:val="center"/>
          </w:tcPr>
          <w:p>
            <w:pPr>
              <w:spacing w:line="320" w:lineRule="exact"/>
              <w:jc w:val="left"/>
              <w:rPr>
                <w:rFonts w:hint="eastAsia" w:ascii="楷体" w:hAnsi="楷体" w:eastAsia="楷体" w:cs="楷体"/>
                <w:sz w:val="24"/>
                <w:szCs w:val="24"/>
              </w:rPr>
            </w:pPr>
            <w:r>
              <w:rPr>
                <w:rFonts w:hint="eastAsia" w:ascii="楷体" w:hAnsi="楷体" w:eastAsia="楷体" w:cs="楷体"/>
                <w:sz w:val="24"/>
                <w:szCs w:val="24"/>
              </w:rPr>
              <w:t>无</w:t>
            </w:r>
          </w:p>
        </w:tc>
      </w:tr>
      <w:tr>
        <w:trPr>
          <w:cantSplit/>
          <w:trHeight w:val="743"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专项（项目）完工验收情况</w:t>
            </w:r>
          </w:p>
        </w:tc>
        <w:tc>
          <w:tcPr>
            <w:tcW w:w="5935" w:type="dxa"/>
            <w:gridSpan w:val="6"/>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已完工</w:t>
            </w:r>
          </w:p>
        </w:tc>
      </w:tr>
      <w:tr>
        <w:trPr>
          <w:cantSplit/>
          <w:trHeight w:val="1180" w:hRule="exact"/>
          <w:jc w:val="center"/>
        </w:trPr>
        <w:tc>
          <w:tcPr>
            <w:tcW w:w="540" w:type="dxa"/>
            <w:vMerge w:val="restart"/>
            <w:vAlign w:val="top"/>
          </w:tcPr>
          <w:p>
            <w:pPr>
              <w:spacing w:line="0" w:lineRule="atLeast"/>
              <w:rPr>
                <w:rFonts w:hint="eastAsia" w:ascii="楷体" w:hAnsi="楷体" w:eastAsia="楷体" w:cs="楷体"/>
                <w:sz w:val="24"/>
                <w:szCs w:val="24"/>
              </w:rPr>
            </w:pPr>
            <w:r>
              <w:rPr>
                <w:rFonts w:hint="eastAsia" w:ascii="楷体" w:hAnsi="楷体" w:eastAsia="楷体" w:cs="楷体"/>
                <w:sz w:val="24"/>
                <w:szCs w:val="24"/>
              </w:rPr>
              <w:t>资金管理情况</w:t>
            </w:r>
          </w:p>
        </w:tc>
        <w:tc>
          <w:tcPr>
            <w:tcW w:w="2621"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资金使用管理</w:t>
            </w:r>
          </w:p>
        </w:tc>
        <w:tc>
          <w:tcPr>
            <w:tcW w:w="5935" w:type="dxa"/>
            <w:gridSpan w:val="6"/>
            <w:vAlign w:val="center"/>
          </w:tcPr>
          <w:p>
            <w:pPr>
              <w:jc w:val="left"/>
              <w:rPr>
                <w:rFonts w:hint="eastAsia" w:ascii="楷体" w:hAnsi="楷体" w:eastAsia="楷体" w:cs="楷体"/>
                <w:sz w:val="24"/>
                <w:szCs w:val="24"/>
              </w:rPr>
            </w:pPr>
            <w:r>
              <w:rPr>
                <w:rFonts w:hint="eastAsia" w:ascii="楷体" w:hAnsi="楷体" w:eastAsia="楷体" w:cs="楷体"/>
                <w:sz w:val="24"/>
                <w:szCs w:val="24"/>
              </w:rPr>
              <w:t>资金使用严格，按程序报账，无挪用、超过预算支出情况。</w:t>
            </w:r>
          </w:p>
        </w:tc>
      </w:tr>
      <w:tr>
        <w:trPr>
          <w:cantSplit/>
          <w:trHeight w:val="986"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财务管理制度</w:t>
            </w:r>
          </w:p>
        </w:tc>
        <w:tc>
          <w:tcPr>
            <w:tcW w:w="5935" w:type="dxa"/>
            <w:gridSpan w:val="6"/>
            <w:vAlign w:val="center"/>
          </w:tcPr>
          <w:p>
            <w:pPr>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按《邵阳市财政局机关财务管理办法》执行</w:t>
            </w:r>
          </w:p>
        </w:tc>
      </w:tr>
      <w:tr>
        <w:trPr>
          <w:cantSplit/>
          <w:trHeight w:val="711" w:hRule="exact"/>
          <w:jc w:val="center"/>
        </w:trPr>
        <w:tc>
          <w:tcPr>
            <w:tcW w:w="540" w:type="dxa"/>
            <w:vMerge w:val="restart"/>
            <w:textDirection w:val="tbRlV"/>
            <w:vAlign w:val="center"/>
          </w:tcPr>
          <w:p>
            <w:pPr>
              <w:spacing w:line="500" w:lineRule="exact"/>
              <w:ind w:left="113" w:right="113"/>
              <w:jc w:val="center"/>
              <w:rPr>
                <w:rFonts w:hint="eastAsia" w:ascii="楷体" w:hAnsi="楷体" w:eastAsia="楷体" w:cs="楷体"/>
                <w:sz w:val="24"/>
                <w:szCs w:val="24"/>
              </w:rPr>
            </w:pPr>
            <w:r>
              <w:rPr>
                <w:rFonts w:hint="eastAsia" w:ascii="楷体" w:hAnsi="楷体" w:eastAsia="楷体" w:cs="楷体"/>
                <w:sz w:val="24"/>
                <w:szCs w:val="24"/>
              </w:rPr>
              <w:t>资金安排使用情况</w:t>
            </w:r>
          </w:p>
        </w:tc>
        <w:tc>
          <w:tcPr>
            <w:tcW w:w="2621"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内容</w:t>
            </w:r>
          </w:p>
        </w:tc>
        <w:tc>
          <w:tcPr>
            <w:tcW w:w="122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应到位资金（万元）</w:t>
            </w:r>
          </w:p>
        </w:tc>
        <w:tc>
          <w:tcPr>
            <w:tcW w:w="1905"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实际到位资金（万元）</w:t>
            </w:r>
          </w:p>
        </w:tc>
        <w:tc>
          <w:tcPr>
            <w:tcW w:w="1425"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实际支出（万元）</w:t>
            </w:r>
          </w:p>
        </w:tc>
        <w:tc>
          <w:tcPr>
            <w:tcW w:w="13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结余资金（万元）</w:t>
            </w:r>
          </w:p>
        </w:tc>
      </w:tr>
      <w:tr>
        <w:trPr>
          <w:cantSplit/>
          <w:trHeight w:val="463"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中央财政</w:t>
            </w:r>
          </w:p>
        </w:tc>
        <w:tc>
          <w:tcPr>
            <w:tcW w:w="122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 xml:space="preserve">       </w:t>
            </w:r>
          </w:p>
        </w:tc>
        <w:tc>
          <w:tcPr>
            <w:tcW w:w="1905" w:type="dxa"/>
            <w:gridSpan w:val="2"/>
            <w:vAlign w:val="center"/>
          </w:tcPr>
          <w:p>
            <w:pPr>
              <w:jc w:val="center"/>
              <w:rPr>
                <w:rFonts w:hint="eastAsia" w:ascii="楷体" w:hAnsi="楷体" w:eastAsia="楷体" w:cs="楷体"/>
                <w:sz w:val="24"/>
                <w:szCs w:val="24"/>
              </w:rPr>
            </w:pPr>
          </w:p>
        </w:tc>
        <w:tc>
          <w:tcPr>
            <w:tcW w:w="1425" w:type="dxa"/>
            <w:gridSpan w:val="2"/>
            <w:vAlign w:val="center"/>
          </w:tcPr>
          <w:p>
            <w:pPr>
              <w:jc w:val="center"/>
              <w:rPr>
                <w:rFonts w:hint="eastAsia" w:ascii="楷体" w:hAnsi="楷体" w:eastAsia="楷体" w:cs="楷体"/>
                <w:sz w:val="24"/>
                <w:szCs w:val="24"/>
              </w:rPr>
            </w:pPr>
          </w:p>
        </w:tc>
        <w:tc>
          <w:tcPr>
            <w:tcW w:w="1380" w:type="dxa"/>
            <w:vAlign w:val="center"/>
          </w:tcPr>
          <w:p>
            <w:pPr>
              <w:jc w:val="center"/>
              <w:rPr>
                <w:rFonts w:hint="eastAsia" w:ascii="楷体" w:hAnsi="楷体" w:eastAsia="楷体" w:cs="楷体"/>
                <w:sz w:val="24"/>
                <w:szCs w:val="24"/>
              </w:rPr>
            </w:pPr>
          </w:p>
        </w:tc>
      </w:tr>
      <w:tr>
        <w:trPr>
          <w:cantSplit/>
          <w:trHeight w:val="469"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省级财政</w:t>
            </w:r>
          </w:p>
        </w:tc>
        <w:tc>
          <w:tcPr>
            <w:tcW w:w="1225" w:type="dxa"/>
            <w:vAlign w:val="center"/>
          </w:tcPr>
          <w:p>
            <w:pPr>
              <w:jc w:val="center"/>
              <w:rPr>
                <w:rFonts w:hint="eastAsia" w:ascii="楷体" w:hAnsi="楷体" w:eastAsia="楷体" w:cs="楷体"/>
                <w:sz w:val="24"/>
                <w:szCs w:val="24"/>
              </w:rPr>
            </w:pPr>
          </w:p>
        </w:tc>
        <w:tc>
          <w:tcPr>
            <w:tcW w:w="1905" w:type="dxa"/>
            <w:gridSpan w:val="2"/>
            <w:vAlign w:val="center"/>
          </w:tcPr>
          <w:p>
            <w:pPr>
              <w:jc w:val="center"/>
              <w:rPr>
                <w:rFonts w:hint="eastAsia" w:ascii="楷体" w:hAnsi="楷体" w:eastAsia="楷体" w:cs="楷体"/>
                <w:sz w:val="24"/>
                <w:szCs w:val="24"/>
              </w:rPr>
            </w:pPr>
          </w:p>
        </w:tc>
        <w:tc>
          <w:tcPr>
            <w:tcW w:w="1425" w:type="dxa"/>
            <w:gridSpan w:val="2"/>
            <w:vAlign w:val="center"/>
          </w:tcPr>
          <w:p>
            <w:pPr>
              <w:jc w:val="center"/>
              <w:rPr>
                <w:rFonts w:hint="eastAsia" w:ascii="楷体" w:hAnsi="楷体" w:eastAsia="楷体" w:cs="楷体"/>
                <w:sz w:val="24"/>
                <w:szCs w:val="24"/>
              </w:rPr>
            </w:pPr>
          </w:p>
        </w:tc>
        <w:tc>
          <w:tcPr>
            <w:tcW w:w="1380" w:type="dxa"/>
            <w:vAlign w:val="center"/>
          </w:tcPr>
          <w:p>
            <w:pPr>
              <w:jc w:val="center"/>
              <w:rPr>
                <w:rFonts w:hint="eastAsia" w:ascii="楷体" w:hAnsi="楷体" w:eastAsia="楷体" w:cs="楷体"/>
                <w:sz w:val="24"/>
                <w:szCs w:val="24"/>
              </w:rPr>
            </w:pPr>
          </w:p>
        </w:tc>
      </w:tr>
      <w:tr>
        <w:trPr>
          <w:cantSplit/>
          <w:trHeight w:val="475"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市级财政</w:t>
            </w:r>
          </w:p>
        </w:tc>
        <w:tc>
          <w:tcPr>
            <w:tcW w:w="1225" w:type="dxa"/>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3.36</w:t>
            </w:r>
          </w:p>
        </w:tc>
        <w:tc>
          <w:tcPr>
            <w:tcW w:w="1905" w:type="dxa"/>
            <w:gridSpan w:val="2"/>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3.36</w:t>
            </w:r>
          </w:p>
        </w:tc>
        <w:tc>
          <w:tcPr>
            <w:tcW w:w="1425" w:type="dxa"/>
            <w:gridSpan w:val="2"/>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3.36</w:t>
            </w:r>
          </w:p>
        </w:tc>
        <w:tc>
          <w:tcPr>
            <w:tcW w:w="1380" w:type="dxa"/>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r>
      <w:tr>
        <w:trPr>
          <w:cantSplit/>
          <w:trHeight w:val="453"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其它</w:t>
            </w:r>
          </w:p>
        </w:tc>
        <w:tc>
          <w:tcPr>
            <w:tcW w:w="1225" w:type="dxa"/>
            <w:vAlign w:val="center"/>
          </w:tcPr>
          <w:p>
            <w:pPr>
              <w:jc w:val="center"/>
              <w:rPr>
                <w:rFonts w:hint="eastAsia" w:ascii="楷体" w:hAnsi="楷体" w:eastAsia="楷体" w:cs="楷体"/>
                <w:sz w:val="24"/>
                <w:szCs w:val="24"/>
              </w:rPr>
            </w:pPr>
          </w:p>
        </w:tc>
        <w:tc>
          <w:tcPr>
            <w:tcW w:w="1905" w:type="dxa"/>
            <w:gridSpan w:val="2"/>
            <w:vAlign w:val="center"/>
          </w:tcPr>
          <w:p>
            <w:pPr>
              <w:jc w:val="center"/>
              <w:rPr>
                <w:rFonts w:hint="eastAsia" w:ascii="楷体" w:hAnsi="楷体" w:eastAsia="楷体" w:cs="楷体"/>
                <w:sz w:val="24"/>
                <w:szCs w:val="24"/>
              </w:rPr>
            </w:pPr>
          </w:p>
        </w:tc>
        <w:tc>
          <w:tcPr>
            <w:tcW w:w="1425" w:type="dxa"/>
            <w:gridSpan w:val="2"/>
            <w:vAlign w:val="center"/>
          </w:tcPr>
          <w:p>
            <w:pPr>
              <w:jc w:val="center"/>
              <w:rPr>
                <w:rFonts w:hint="eastAsia" w:ascii="楷体" w:hAnsi="楷体" w:eastAsia="楷体" w:cs="楷体"/>
                <w:sz w:val="24"/>
                <w:szCs w:val="24"/>
              </w:rPr>
            </w:pPr>
          </w:p>
        </w:tc>
        <w:tc>
          <w:tcPr>
            <w:tcW w:w="1380" w:type="dxa"/>
            <w:vAlign w:val="center"/>
          </w:tcPr>
          <w:p>
            <w:pPr>
              <w:jc w:val="center"/>
              <w:rPr>
                <w:rFonts w:hint="eastAsia" w:ascii="楷体" w:hAnsi="楷体" w:eastAsia="楷体" w:cs="楷体"/>
                <w:sz w:val="24"/>
                <w:szCs w:val="24"/>
              </w:rPr>
            </w:pPr>
          </w:p>
        </w:tc>
      </w:tr>
      <w:tr>
        <w:trPr>
          <w:cantSplit/>
          <w:trHeight w:val="477" w:hRule="exact"/>
          <w:jc w:val="center"/>
        </w:trPr>
        <w:tc>
          <w:tcPr>
            <w:tcW w:w="540" w:type="dxa"/>
            <w:vMerge w:val="continue"/>
            <w:vAlign w:val="center"/>
          </w:tcPr>
          <w:p>
            <w:pPr>
              <w:spacing w:line="560" w:lineRule="exact"/>
              <w:jc w:val="center"/>
              <w:rPr>
                <w:rFonts w:hint="eastAsia" w:ascii="楷体" w:hAnsi="楷体" w:eastAsia="楷体" w:cs="楷体"/>
                <w:sz w:val="24"/>
                <w:szCs w:val="24"/>
              </w:rPr>
            </w:pPr>
          </w:p>
        </w:tc>
        <w:tc>
          <w:tcPr>
            <w:tcW w:w="262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合　　计</w:t>
            </w:r>
          </w:p>
        </w:tc>
        <w:tc>
          <w:tcPr>
            <w:tcW w:w="1225" w:type="dxa"/>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3.36</w:t>
            </w:r>
          </w:p>
        </w:tc>
        <w:tc>
          <w:tcPr>
            <w:tcW w:w="1905" w:type="dxa"/>
            <w:gridSpan w:val="2"/>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3.36</w:t>
            </w:r>
          </w:p>
        </w:tc>
        <w:tc>
          <w:tcPr>
            <w:tcW w:w="1425" w:type="dxa"/>
            <w:gridSpan w:val="2"/>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3.36</w:t>
            </w:r>
          </w:p>
        </w:tc>
        <w:tc>
          <w:tcPr>
            <w:tcW w:w="1380" w:type="dxa"/>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r>
      <w:tr>
        <w:trPr>
          <w:trHeight w:val="630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产出成果</w:t>
            </w:r>
          </w:p>
        </w:tc>
        <w:tc>
          <w:tcPr>
            <w:tcW w:w="8556" w:type="dxa"/>
            <w:gridSpan w:val="7"/>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line="300" w:lineRule="exact"/>
              <w:textAlignment w:val="auto"/>
              <w:rPr>
                <w:rFonts w:hint="eastAsia" w:ascii="楷体" w:hAnsi="楷体" w:eastAsia="楷体" w:cs="楷体"/>
                <w:b/>
                <w:bCs/>
                <w:sz w:val="28"/>
                <w:szCs w:val="28"/>
              </w:rPr>
            </w:pPr>
          </w:p>
          <w:p>
            <w:pPr>
              <w:widowControl w:val="0"/>
              <w:wordWrap/>
              <w:adjustRightInd/>
              <w:snapToGrid/>
              <w:spacing w:line="34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一、 项目</w:t>
            </w:r>
            <w:r>
              <w:rPr>
                <w:rFonts w:hint="eastAsia" w:ascii="楷体" w:hAnsi="楷体" w:eastAsia="楷体" w:cs="楷体"/>
                <w:b/>
                <w:bCs/>
                <w:sz w:val="28"/>
                <w:szCs w:val="28"/>
                <w:lang w:eastAsia="zh-CN"/>
              </w:rPr>
              <w:t>基本</w:t>
            </w:r>
            <w:r>
              <w:rPr>
                <w:rFonts w:hint="eastAsia" w:ascii="楷体" w:hAnsi="楷体" w:eastAsia="楷体" w:cs="楷体"/>
                <w:b/>
                <w:bCs/>
                <w:sz w:val="28"/>
                <w:szCs w:val="28"/>
              </w:rPr>
              <w:t>概况 </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2020年，根据国家、省、市中长期法治建设等政策法规以及《全市财政法制宣传教育第七个五个规划（2016-2020年）》（邵财法〔2016〕3号）等相关规定立项和组织实施的，主要围绕打造“六个财政”建设，聚焦法治宣传教育工作重点，全面推进依法行政依法理财，为邵阳财政高质量发展营造良好的法治氛围、增强干部群众的法治意识。2020年年初预算安排资金3.36万元，主要用于法制宣传、法制教育、依法治理等方面的支出，主要包括：财政干部法制培训费、领导干部学法考试教材费、普法宣传专栏展板制作费、普法宣传资料印刷费，专题宣传活动费等。</w:t>
            </w:r>
          </w:p>
          <w:p>
            <w:pPr>
              <w:widowControl w:val="0"/>
              <w:wordWrap/>
              <w:adjustRightInd/>
              <w:snapToGrid/>
              <w:spacing w:line="340" w:lineRule="exact"/>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 </w:t>
            </w:r>
            <w:r>
              <w:rPr>
                <w:rFonts w:hint="eastAsia" w:ascii="楷体" w:hAnsi="楷体" w:eastAsia="楷体" w:cs="楷体"/>
                <w:b/>
                <w:bCs/>
                <w:sz w:val="28"/>
                <w:szCs w:val="28"/>
                <w:lang w:eastAsia="zh-CN"/>
              </w:rPr>
              <w:t>二、项目绩效目标管理</w:t>
            </w:r>
          </w:p>
          <w:p>
            <w:pPr>
              <w:widowControl w:val="0"/>
              <w:wordWrap/>
              <w:adjustRightInd/>
              <w:snapToGrid/>
              <w:spacing w:line="3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eastAsia="zh-CN"/>
              </w:rPr>
              <w:t>年初进行专项项目绩效目标申报，年后完成了专项项目绩效自评工作。通过整章建制、法制宣传教育培训及开展法宣主题活动，干部职工更加知法、遵法、尚法，全市财政系统法制工作者的法治理论水平有个新的提高，依法行政依法理财能力有新的加强。</w:t>
            </w:r>
          </w:p>
          <w:p>
            <w:pPr>
              <w:widowControl w:val="0"/>
              <w:wordWrap/>
              <w:adjustRightInd/>
              <w:snapToGrid/>
              <w:spacing w:line="340" w:lineRule="exact"/>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二、项目资金</w:t>
            </w:r>
            <w:r>
              <w:rPr>
                <w:rFonts w:hint="eastAsia" w:ascii="楷体" w:hAnsi="楷体" w:eastAsia="楷体" w:cs="楷体"/>
                <w:b/>
                <w:bCs/>
                <w:sz w:val="28"/>
                <w:szCs w:val="28"/>
                <w:lang w:eastAsia="zh-CN"/>
              </w:rPr>
              <w:t>使用管理</w:t>
            </w:r>
          </w:p>
          <w:p>
            <w:pPr>
              <w:widowControl w:val="0"/>
              <w:wordWrap/>
              <w:adjustRightInd/>
              <w:snapToGrid/>
              <w:spacing w:line="340" w:lineRule="exact"/>
              <w:textAlignment w:val="auto"/>
              <w:rPr>
                <w:rFonts w:hint="eastAsia"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2</w:t>
            </w:r>
            <w:r>
              <w:rPr>
                <w:rFonts w:hint="eastAsia" w:ascii="楷体" w:hAnsi="楷体" w:eastAsia="楷体" w:cs="楷体"/>
                <w:sz w:val="28"/>
                <w:szCs w:val="28"/>
                <w:lang w:val="en-US" w:eastAsia="zh-CN"/>
              </w:rPr>
              <w:t>020</w:t>
            </w:r>
            <w:r>
              <w:rPr>
                <w:rFonts w:hint="eastAsia" w:ascii="楷体" w:hAnsi="楷体" w:eastAsia="楷体" w:cs="楷体"/>
                <w:sz w:val="28"/>
                <w:szCs w:val="28"/>
              </w:rPr>
              <w:t>年</w:t>
            </w:r>
            <w:r>
              <w:rPr>
                <w:rFonts w:hint="eastAsia" w:ascii="楷体" w:hAnsi="楷体" w:eastAsia="楷体" w:cs="楷体"/>
                <w:sz w:val="28"/>
                <w:szCs w:val="28"/>
                <w:lang w:eastAsia="zh-CN"/>
              </w:rPr>
              <w:t>本级财政年初安排我局法制培训经费</w:t>
            </w:r>
            <w:r>
              <w:rPr>
                <w:rFonts w:hint="eastAsia" w:ascii="楷体" w:hAnsi="楷体" w:eastAsia="楷体" w:cs="楷体"/>
                <w:sz w:val="28"/>
                <w:szCs w:val="28"/>
                <w:lang w:val="en-US" w:eastAsia="zh-CN"/>
              </w:rPr>
              <w:t>3.36万元，当年实际报账支出3.36万元，项目资金无结余</w:t>
            </w:r>
            <w:r>
              <w:rPr>
                <w:rFonts w:hint="eastAsia" w:ascii="楷体" w:hAnsi="楷体" w:eastAsia="楷体" w:cs="楷体"/>
                <w:sz w:val="28"/>
                <w:szCs w:val="28"/>
              </w:rPr>
              <w:t>。项目资金</w:t>
            </w:r>
            <w:r>
              <w:rPr>
                <w:rFonts w:hint="eastAsia" w:ascii="楷体" w:hAnsi="楷体" w:eastAsia="楷体" w:cs="楷体"/>
                <w:sz w:val="28"/>
                <w:szCs w:val="28"/>
                <w:lang w:eastAsia="zh-CN"/>
              </w:rPr>
              <w:t>的使用</w:t>
            </w:r>
            <w:r>
              <w:rPr>
                <w:rFonts w:hint="eastAsia" w:ascii="楷体" w:hAnsi="楷体" w:eastAsia="楷体" w:cs="楷体"/>
                <w:sz w:val="28"/>
                <w:szCs w:val="28"/>
              </w:rPr>
              <w:t>严格按照项目</w:t>
            </w:r>
            <w:r>
              <w:rPr>
                <w:rFonts w:hint="eastAsia" w:ascii="楷体" w:hAnsi="楷体" w:eastAsia="楷体" w:cs="楷体"/>
                <w:sz w:val="28"/>
                <w:szCs w:val="28"/>
                <w:lang w:eastAsia="zh-CN"/>
              </w:rPr>
              <w:t>申报的</w:t>
            </w:r>
            <w:r>
              <w:rPr>
                <w:rFonts w:hint="eastAsia" w:ascii="楷体" w:hAnsi="楷体" w:eastAsia="楷体" w:cs="楷体"/>
                <w:sz w:val="28"/>
                <w:szCs w:val="28"/>
              </w:rPr>
              <w:t>支出范围、用途控制，坚持专款专用，</w:t>
            </w:r>
            <w:r>
              <w:rPr>
                <w:rFonts w:hint="eastAsia" w:ascii="楷体" w:hAnsi="楷体" w:eastAsia="楷体" w:cs="楷体"/>
                <w:sz w:val="28"/>
                <w:szCs w:val="28"/>
                <w:lang w:eastAsia="zh-CN"/>
              </w:rPr>
              <w:t>无</w:t>
            </w:r>
            <w:r>
              <w:rPr>
                <w:rFonts w:hint="eastAsia" w:ascii="楷体" w:hAnsi="楷体" w:eastAsia="楷体" w:cs="楷体"/>
                <w:sz w:val="28"/>
                <w:szCs w:val="28"/>
              </w:rPr>
              <w:t>挤占挪用</w:t>
            </w:r>
            <w:r>
              <w:rPr>
                <w:rFonts w:hint="eastAsia" w:ascii="楷体" w:hAnsi="楷体" w:eastAsia="楷体" w:cs="楷体"/>
                <w:sz w:val="28"/>
                <w:szCs w:val="28"/>
                <w:lang w:eastAsia="zh-CN"/>
              </w:rPr>
              <w:t>情况</w:t>
            </w:r>
            <w:r>
              <w:rPr>
                <w:rFonts w:hint="eastAsia" w:ascii="楷体" w:hAnsi="楷体" w:eastAsia="楷体" w:cs="楷体"/>
                <w:sz w:val="28"/>
                <w:szCs w:val="28"/>
              </w:rPr>
              <w:t>。</w:t>
            </w:r>
            <w:r>
              <w:rPr>
                <w:rFonts w:hint="eastAsia" w:ascii="楷体" w:hAnsi="楷体" w:eastAsia="楷体" w:cs="楷体"/>
                <w:sz w:val="28"/>
                <w:szCs w:val="28"/>
                <w:lang w:eastAsia="zh-CN"/>
              </w:rPr>
              <w:t>支出报账严格按《邵阳市财政局机关财务管理办法》规定程序的执行，</w:t>
            </w:r>
            <w:r>
              <w:rPr>
                <w:rFonts w:hint="eastAsia" w:ascii="楷体" w:hAnsi="楷体" w:eastAsia="楷体" w:cs="楷体"/>
                <w:sz w:val="28"/>
                <w:szCs w:val="28"/>
              </w:rPr>
              <w:t>确保项目资金</w:t>
            </w:r>
            <w:r>
              <w:rPr>
                <w:rFonts w:hint="eastAsia" w:ascii="楷体" w:hAnsi="楷体" w:eastAsia="楷体" w:cs="楷体"/>
                <w:sz w:val="28"/>
                <w:szCs w:val="28"/>
                <w:lang w:eastAsia="zh-CN"/>
              </w:rPr>
              <w:t>安全高效</w:t>
            </w:r>
            <w:r>
              <w:rPr>
                <w:rFonts w:hint="eastAsia" w:ascii="楷体" w:hAnsi="楷体" w:eastAsia="楷体" w:cs="楷体"/>
                <w:sz w:val="28"/>
                <w:szCs w:val="28"/>
              </w:rPr>
              <w:t>。 </w:t>
            </w:r>
          </w:p>
          <w:p>
            <w:pPr>
              <w:widowControl w:val="0"/>
              <w:wordWrap/>
              <w:adjustRightInd/>
              <w:snapToGrid/>
              <w:spacing w:line="34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三、项目实施</w:t>
            </w:r>
            <w:r>
              <w:rPr>
                <w:rFonts w:hint="eastAsia" w:ascii="楷体" w:hAnsi="楷体" w:eastAsia="楷体" w:cs="楷体"/>
                <w:b/>
                <w:bCs/>
                <w:sz w:val="28"/>
                <w:szCs w:val="28"/>
                <w:lang w:eastAsia="zh-CN"/>
              </w:rPr>
              <w:t>绩效</w:t>
            </w:r>
            <w:r>
              <w:rPr>
                <w:rFonts w:hint="eastAsia" w:ascii="楷体" w:hAnsi="楷体" w:eastAsia="楷体" w:cs="楷体"/>
                <w:b/>
                <w:bCs/>
                <w:sz w:val="28"/>
                <w:szCs w:val="28"/>
              </w:rPr>
              <w:t>情况 </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（一）</w:t>
            </w:r>
            <w:r>
              <w:rPr>
                <w:rFonts w:hint="eastAsia" w:ascii="楷体" w:hAnsi="楷体" w:eastAsia="楷体" w:cs="楷体"/>
                <w:sz w:val="28"/>
                <w:szCs w:val="28"/>
                <w:lang w:eastAsia="zh-CN"/>
              </w:rPr>
              <w:t>强化</w:t>
            </w:r>
            <w:r>
              <w:rPr>
                <w:rFonts w:hint="eastAsia" w:ascii="楷体" w:hAnsi="楷体" w:eastAsia="楷体" w:cs="楷体"/>
                <w:sz w:val="28"/>
                <w:szCs w:val="28"/>
              </w:rPr>
              <w:t>组织领导，</w:t>
            </w:r>
            <w:r>
              <w:rPr>
                <w:rFonts w:hint="eastAsia" w:ascii="楷体" w:hAnsi="楷体" w:eastAsia="楷体" w:cs="楷体"/>
                <w:sz w:val="28"/>
                <w:szCs w:val="28"/>
                <w:lang w:eastAsia="zh-CN"/>
              </w:rPr>
              <w:t>落实普法责任。深入贯彻落实党政“一把手”推进法治建设第一责任人职责，并结合省市工作要点和我局工作实际，研究制定20</w:t>
            </w:r>
            <w:r>
              <w:rPr>
                <w:rFonts w:hint="eastAsia" w:ascii="楷体" w:hAnsi="楷体" w:eastAsia="楷体" w:cs="楷体"/>
                <w:sz w:val="28"/>
                <w:szCs w:val="28"/>
                <w:lang w:val="en-US" w:eastAsia="zh-CN"/>
              </w:rPr>
              <w:t>20</w:t>
            </w:r>
            <w:r>
              <w:rPr>
                <w:rFonts w:hint="eastAsia" w:ascii="楷体" w:hAnsi="楷体" w:eastAsia="楷体" w:cs="楷体"/>
                <w:sz w:val="28"/>
                <w:szCs w:val="28"/>
                <w:lang w:eastAsia="zh-CN"/>
              </w:rPr>
              <w:t>年全市财政法治宣传教育工作计划，落实了</w:t>
            </w:r>
            <w:r>
              <w:rPr>
                <w:rFonts w:hint="eastAsia" w:ascii="楷体" w:hAnsi="楷体" w:eastAsia="楷体" w:cs="楷体"/>
                <w:sz w:val="28"/>
                <w:szCs w:val="28"/>
                <w:lang w:val="en-US" w:eastAsia="zh-CN"/>
              </w:rPr>
              <w:t>2020年度</w:t>
            </w:r>
            <w:r>
              <w:rPr>
                <w:rFonts w:hint="eastAsia" w:ascii="楷体" w:hAnsi="楷体" w:eastAsia="楷体" w:cs="楷体"/>
                <w:sz w:val="28"/>
                <w:szCs w:val="28"/>
                <w:lang w:eastAsia="zh-CN"/>
              </w:rPr>
              <w:t>普法责任清单和国家机关“谁执法谁普法”任务清单，明确了各级各部门的工作目标任务。做到年初有计划，年末有总结考核，层层压实责任，确保年度目标达到预期。</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（二）围绕</w:t>
            </w:r>
            <w:r>
              <w:rPr>
                <w:rFonts w:hint="eastAsia" w:ascii="楷体" w:hAnsi="楷体" w:eastAsia="楷体" w:cs="楷体"/>
                <w:sz w:val="28"/>
                <w:szCs w:val="28"/>
                <w:lang w:val="en-US" w:eastAsia="zh-CN"/>
              </w:rPr>
              <w:t>主题，开展形式多样的法制宣传活动，</w:t>
            </w:r>
            <w:r>
              <w:rPr>
                <w:rFonts w:hint="eastAsia" w:ascii="楷体" w:hAnsi="楷体" w:eastAsia="楷体" w:cs="楷体"/>
                <w:sz w:val="28"/>
                <w:szCs w:val="28"/>
                <w:lang w:eastAsia="zh-CN"/>
              </w:rPr>
              <w:t>营造浓厚的法治氛围，增强干部群众的法治意识。一是</w:t>
            </w:r>
            <w:r>
              <w:rPr>
                <w:rFonts w:hint="eastAsia" w:ascii="楷体" w:hAnsi="楷体" w:eastAsia="楷体" w:cs="楷体"/>
                <w:sz w:val="28"/>
                <w:szCs w:val="28"/>
              </w:rPr>
              <w:t>围绕</w:t>
            </w:r>
            <w:r>
              <w:rPr>
                <w:rFonts w:hint="eastAsia" w:ascii="楷体" w:hAnsi="楷体" w:eastAsia="楷体" w:cs="楷体"/>
                <w:sz w:val="28"/>
                <w:szCs w:val="28"/>
                <w:lang w:eastAsia="zh-CN"/>
              </w:rPr>
              <w:t>财政</w:t>
            </w:r>
            <w:r>
              <w:rPr>
                <w:rFonts w:hint="eastAsia" w:ascii="楷体" w:hAnsi="楷体" w:eastAsia="楷体" w:cs="楷体"/>
                <w:sz w:val="28"/>
                <w:szCs w:val="28"/>
              </w:rPr>
              <w:t>中心工作，结合全市</w:t>
            </w:r>
            <w:r>
              <w:rPr>
                <w:rFonts w:hint="eastAsia" w:ascii="楷体" w:hAnsi="楷体" w:eastAsia="楷体" w:cs="楷体"/>
                <w:sz w:val="28"/>
                <w:szCs w:val="28"/>
                <w:lang w:eastAsia="zh-CN"/>
              </w:rPr>
              <w:t>财政</w:t>
            </w:r>
            <w:r>
              <w:rPr>
                <w:rFonts w:hint="eastAsia" w:ascii="楷体" w:hAnsi="楷体" w:eastAsia="楷体" w:cs="楷体"/>
                <w:sz w:val="28"/>
                <w:szCs w:val="28"/>
              </w:rPr>
              <w:t>“七五”普法规划，</w:t>
            </w:r>
            <w:r>
              <w:rPr>
                <w:rFonts w:hint="eastAsia" w:ascii="楷体" w:hAnsi="楷体" w:eastAsia="楷体" w:cs="楷体"/>
                <w:sz w:val="28"/>
                <w:szCs w:val="28"/>
                <w:lang w:eastAsia="zh-CN"/>
              </w:rPr>
              <w:t>以</w:t>
            </w:r>
            <w:r>
              <w:rPr>
                <w:rFonts w:hint="eastAsia" w:ascii="楷体" w:hAnsi="楷体" w:eastAsia="楷体" w:cs="楷体"/>
                <w:sz w:val="28"/>
                <w:szCs w:val="28"/>
              </w:rPr>
              <w:t>“法律</w:t>
            </w:r>
            <w:r>
              <w:rPr>
                <w:rFonts w:hint="eastAsia" w:ascii="楷体" w:hAnsi="楷体" w:eastAsia="楷体" w:cs="楷体"/>
                <w:sz w:val="28"/>
                <w:szCs w:val="28"/>
                <w:lang w:eastAsia="zh-CN"/>
              </w:rPr>
              <w:t>九</w:t>
            </w:r>
            <w:r>
              <w:rPr>
                <w:rFonts w:hint="eastAsia" w:ascii="楷体" w:hAnsi="楷体" w:eastAsia="楷体" w:cs="楷体"/>
                <w:sz w:val="28"/>
                <w:szCs w:val="28"/>
              </w:rPr>
              <w:t>进”活动</w:t>
            </w:r>
            <w:r>
              <w:rPr>
                <w:rFonts w:hint="eastAsia" w:ascii="楷体" w:hAnsi="楷体" w:eastAsia="楷体" w:cs="楷体"/>
                <w:sz w:val="28"/>
                <w:szCs w:val="28"/>
                <w:lang w:eastAsia="zh-CN"/>
              </w:rPr>
              <w:t>为平台，积极</w:t>
            </w:r>
            <w:r>
              <w:rPr>
                <w:rFonts w:hint="eastAsia" w:ascii="楷体" w:hAnsi="楷体" w:eastAsia="楷体" w:cs="楷体"/>
                <w:sz w:val="28"/>
                <w:szCs w:val="28"/>
                <w:lang w:val="en-US" w:eastAsia="zh-CN"/>
              </w:rPr>
              <w:t>开展“</w:t>
            </w:r>
            <w:r>
              <w:rPr>
                <w:rFonts w:hint="eastAsia" w:ascii="楷体" w:hAnsi="楷体" w:eastAsia="楷体" w:cs="楷体"/>
                <w:sz w:val="28"/>
                <w:szCs w:val="28"/>
              </w:rPr>
              <w:t>疫情防控，党员先行”“文明创建、我在行动”等</w:t>
            </w:r>
            <w:r>
              <w:rPr>
                <w:rFonts w:hint="eastAsia" w:ascii="楷体" w:hAnsi="楷体" w:eastAsia="楷体" w:cs="楷体"/>
                <w:sz w:val="28"/>
                <w:szCs w:val="28"/>
                <w:lang w:eastAsia="zh-CN"/>
              </w:rPr>
              <w:t>志愿</w:t>
            </w:r>
            <w:r>
              <w:rPr>
                <w:rFonts w:hint="eastAsia" w:ascii="楷体" w:hAnsi="楷体" w:eastAsia="楷体" w:cs="楷体"/>
                <w:sz w:val="28"/>
                <w:szCs w:val="28"/>
              </w:rPr>
              <w:t>宣讲服务活动</w:t>
            </w:r>
            <w:r>
              <w:rPr>
                <w:rFonts w:hint="eastAsia" w:ascii="楷体" w:hAnsi="楷体" w:eastAsia="楷体" w:cs="楷体"/>
                <w:sz w:val="28"/>
                <w:szCs w:val="28"/>
                <w:lang w:val="en-US" w:eastAsia="zh-CN"/>
              </w:rPr>
              <w:t>10次</w:t>
            </w:r>
            <w:r>
              <w:rPr>
                <w:rFonts w:hint="eastAsia" w:ascii="楷体" w:hAnsi="楷体" w:eastAsia="楷体" w:cs="楷体"/>
                <w:sz w:val="28"/>
                <w:szCs w:val="28"/>
              </w:rPr>
              <w:t>。</w:t>
            </w:r>
            <w:r>
              <w:rPr>
                <w:rFonts w:hint="eastAsia" w:ascii="楷体" w:hAnsi="楷体" w:eastAsia="楷体" w:cs="楷体"/>
                <w:sz w:val="28"/>
                <w:szCs w:val="28"/>
                <w:lang w:eastAsia="zh-CN"/>
              </w:rPr>
              <w:t>发放宣传折页</w:t>
            </w:r>
            <w:r>
              <w:rPr>
                <w:rFonts w:hint="eastAsia" w:ascii="楷体" w:hAnsi="楷体" w:eastAsia="楷体" w:cs="楷体"/>
                <w:sz w:val="28"/>
                <w:szCs w:val="28"/>
                <w:lang w:val="en-US" w:eastAsia="zh-CN"/>
              </w:rPr>
              <w:t>1000册，扩大财政法治宣传覆盖面和影响力。二是与财政联点社区、驻村扶贫点开展法治文化共建，组织法宣志愿者队伍分开展“</w:t>
            </w:r>
            <w:r>
              <w:rPr>
                <w:rFonts w:hint="eastAsia" w:ascii="楷体" w:hAnsi="楷体" w:eastAsia="楷体" w:cs="楷体"/>
                <w:sz w:val="28"/>
                <w:szCs w:val="28"/>
                <w:lang w:eastAsia="zh-CN"/>
              </w:rPr>
              <w:t>创法治社区</w:t>
            </w:r>
            <w:r>
              <w:rPr>
                <w:rFonts w:hint="eastAsia" w:ascii="楷体" w:hAnsi="楷体" w:eastAsia="楷体" w:cs="楷体"/>
                <w:sz w:val="28"/>
                <w:szCs w:val="28"/>
              </w:rPr>
              <w:t>，</w:t>
            </w:r>
            <w:r>
              <w:rPr>
                <w:rFonts w:hint="eastAsia" w:ascii="楷体" w:hAnsi="楷体" w:eastAsia="楷体" w:cs="楷体"/>
                <w:sz w:val="28"/>
                <w:szCs w:val="28"/>
                <w:lang w:eastAsia="zh-CN"/>
              </w:rPr>
              <w:t>建幸福家园”主题活动</w:t>
            </w:r>
            <w:r>
              <w:rPr>
                <w:rFonts w:hint="eastAsia" w:ascii="楷体" w:hAnsi="楷体" w:eastAsia="楷体" w:cs="楷体"/>
                <w:sz w:val="28"/>
                <w:szCs w:val="28"/>
                <w:lang w:val="en-US" w:eastAsia="zh-CN"/>
              </w:rPr>
              <w:t>”、</w:t>
            </w:r>
            <w:r>
              <w:rPr>
                <w:rFonts w:hint="eastAsia" w:ascii="楷体" w:hAnsi="楷体" w:eastAsia="楷体" w:cs="楷体"/>
                <w:sz w:val="28"/>
                <w:szCs w:val="28"/>
              </w:rPr>
              <w:t>“精准扶贫、法治同行”</w:t>
            </w:r>
            <w:r>
              <w:rPr>
                <w:rFonts w:hint="eastAsia" w:ascii="楷体" w:hAnsi="楷体" w:eastAsia="楷体" w:cs="楷体"/>
                <w:sz w:val="28"/>
                <w:szCs w:val="28"/>
                <w:lang w:val="en-US" w:eastAsia="zh-CN"/>
              </w:rPr>
              <w:t>送法下乡宣传活动，</w:t>
            </w:r>
            <w:r>
              <w:rPr>
                <w:rFonts w:hint="eastAsia" w:ascii="楷体" w:hAnsi="楷体" w:eastAsia="楷体" w:cs="楷体"/>
                <w:sz w:val="28"/>
                <w:szCs w:val="28"/>
              </w:rPr>
              <w:t>捐赠</w:t>
            </w:r>
            <w:r>
              <w:rPr>
                <w:rFonts w:hint="eastAsia" w:ascii="楷体" w:hAnsi="楷体" w:eastAsia="楷体" w:cs="楷体"/>
                <w:sz w:val="28"/>
                <w:szCs w:val="28"/>
                <w:lang w:val="en-US" w:eastAsia="zh-CN"/>
              </w:rPr>
              <w:t>《宪法》《民法典》《邵阳市乡村清洁条例》》等书箱150余册。</w:t>
            </w:r>
            <w:r>
              <w:rPr>
                <w:rFonts w:hint="eastAsia" w:ascii="楷体" w:hAnsi="楷体" w:eastAsia="楷体" w:cs="楷体"/>
                <w:sz w:val="28"/>
                <w:szCs w:val="28"/>
                <w:lang w:eastAsia="zh-CN"/>
              </w:rPr>
              <w:t>三是</w:t>
            </w:r>
            <w:r>
              <w:rPr>
                <w:rFonts w:hint="eastAsia" w:ascii="楷体" w:hAnsi="楷体" w:eastAsia="楷体" w:cs="楷体"/>
                <w:sz w:val="28"/>
                <w:szCs w:val="28"/>
              </w:rPr>
              <w:t>结合驻村结对帮扶工作，</w:t>
            </w:r>
            <w:r>
              <w:rPr>
                <w:rFonts w:hint="eastAsia" w:ascii="楷体" w:hAnsi="楷体" w:eastAsia="楷体" w:cs="楷体"/>
                <w:sz w:val="28"/>
                <w:szCs w:val="28"/>
                <w:lang w:eastAsia="zh-CN"/>
              </w:rPr>
              <w:t>开展</w:t>
            </w:r>
            <w:r>
              <w:rPr>
                <w:rFonts w:hint="eastAsia" w:ascii="楷体" w:hAnsi="楷体" w:eastAsia="楷体" w:cs="楷体"/>
                <w:sz w:val="28"/>
                <w:szCs w:val="28"/>
              </w:rPr>
              <w:t>农村法治宣传教育月活动</w:t>
            </w:r>
            <w:r>
              <w:rPr>
                <w:rFonts w:hint="eastAsia" w:ascii="楷体" w:hAnsi="楷体" w:eastAsia="楷体" w:cs="楷体"/>
                <w:sz w:val="28"/>
                <w:szCs w:val="28"/>
                <w:lang w:eastAsia="zh-CN"/>
              </w:rPr>
              <w:t>，充分</w:t>
            </w:r>
            <w:r>
              <w:rPr>
                <w:rFonts w:hint="eastAsia" w:ascii="楷体" w:hAnsi="楷体" w:eastAsia="楷体" w:cs="楷体"/>
                <w:sz w:val="28"/>
                <w:szCs w:val="28"/>
              </w:rPr>
              <w:t>利用</w:t>
            </w:r>
            <w:r>
              <w:rPr>
                <w:rFonts w:hint="eastAsia" w:ascii="楷体" w:hAnsi="楷体" w:eastAsia="楷体" w:cs="楷体"/>
                <w:sz w:val="28"/>
                <w:szCs w:val="28"/>
                <w:lang w:eastAsia="zh-CN"/>
              </w:rPr>
              <w:t>驻村干部便利条件及</w:t>
            </w:r>
            <w:r>
              <w:rPr>
                <w:rFonts w:hint="eastAsia" w:ascii="楷体" w:hAnsi="楷体" w:eastAsia="楷体" w:cs="楷体"/>
                <w:sz w:val="28"/>
                <w:szCs w:val="28"/>
              </w:rPr>
              <w:t>财政干部到村入户帮扶机会，对村民进行</w:t>
            </w:r>
            <w:r>
              <w:rPr>
                <w:rFonts w:hint="eastAsia" w:ascii="楷体" w:hAnsi="楷体" w:eastAsia="楷体" w:cs="楷体"/>
                <w:sz w:val="28"/>
                <w:szCs w:val="28"/>
                <w:lang w:eastAsia="zh-CN"/>
              </w:rPr>
              <w:t>一对一的法制</w:t>
            </w:r>
            <w:r>
              <w:rPr>
                <w:rFonts w:hint="eastAsia" w:ascii="楷体" w:hAnsi="楷体" w:eastAsia="楷体" w:cs="楷体"/>
                <w:sz w:val="28"/>
                <w:szCs w:val="28"/>
              </w:rPr>
              <w:t>宣传</w:t>
            </w:r>
            <w:r>
              <w:rPr>
                <w:rFonts w:hint="eastAsia" w:ascii="楷体" w:hAnsi="楷体" w:eastAsia="楷体" w:cs="楷体"/>
                <w:sz w:val="28"/>
                <w:szCs w:val="28"/>
                <w:lang w:eastAsia="zh-CN"/>
              </w:rPr>
              <w:t>服务，发放扶贫政策等各类资料</w:t>
            </w:r>
            <w:r>
              <w:rPr>
                <w:rFonts w:hint="eastAsia" w:ascii="楷体" w:hAnsi="楷体" w:eastAsia="楷体" w:cs="楷体"/>
                <w:sz w:val="28"/>
                <w:szCs w:val="28"/>
                <w:lang w:val="en-US" w:eastAsia="zh-CN"/>
              </w:rPr>
              <w:t>200余份，引导村民群众逐步形成“办事依法、遇事找法、解决问题用法、化解矛盾靠法”的观念。四是结合“12.4国家宪法日”等重要时间节点开展法治宣传，制定了活动实施方案，制作宣传橱窗6块、电子屏标语35条、横幅2条，在全局上下营造学习宪法、尊祟宪法的良好氛围。</w:t>
            </w:r>
            <w:r>
              <w:rPr>
                <w:rFonts w:hint="eastAsia" w:ascii="楷体" w:hAnsi="楷体" w:eastAsia="楷体" w:cs="楷体"/>
                <w:sz w:val="28"/>
                <w:szCs w:val="28"/>
                <w:lang w:eastAsia="zh-CN"/>
              </w:rPr>
              <w:t>五是</w:t>
            </w:r>
            <w:r>
              <w:rPr>
                <w:rFonts w:hint="eastAsia" w:ascii="楷体" w:hAnsi="楷体" w:eastAsia="楷体" w:cs="楷体"/>
                <w:sz w:val="28"/>
                <w:szCs w:val="28"/>
                <w:lang w:val="en-US" w:eastAsia="zh-CN"/>
              </w:rPr>
              <w:t>组织全局干部职工观看警示教育片，教育引导财政干部职工知法守法，敬畏党纪国法，增强法治意识、筑牢思想道德防线和行为底线，确保财政干部政治生命和财政资金“两个安全”。</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（三）举办法律法规及财政政策专题培训班，全市财政干部依法理财依法行政能力有了明显提升。</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一是深入</w:t>
            </w:r>
            <w:r>
              <w:rPr>
                <w:rFonts w:hint="eastAsia" w:ascii="楷体" w:hAnsi="楷体" w:eastAsia="楷体" w:cs="楷体"/>
                <w:sz w:val="28"/>
                <w:szCs w:val="28"/>
                <w:lang w:val="en-US" w:eastAsia="zh-CN"/>
              </w:rPr>
              <w:t>学习党的十九届五中全会精神和习近平总书记全面依法治国新理念新思想新战略的思想精髓，</w:t>
            </w:r>
            <w:r>
              <w:rPr>
                <w:rFonts w:hint="eastAsia" w:ascii="楷体" w:hAnsi="楷体" w:eastAsia="楷体" w:cs="楷体"/>
                <w:sz w:val="28"/>
                <w:szCs w:val="28"/>
                <w:lang w:eastAsia="zh-CN"/>
              </w:rPr>
              <w:t>邀请市委党校姚海波教授给全局干部职工专题</w:t>
            </w:r>
            <w:r>
              <w:rPr>
                <w:rFonts w:hint="eastAsia" w:ascii="楷体" w:hAnsi="楷体" w:eastAsia="楷体" w:cs="楷体"/>
                <w:sz w:val="28"/>
                <w:szCs w:val="28"/>
                <w:lang w:val="en-US" w:eastAsia="zh-CN"/>
              </w:rPr>
              <w:t>授课，提升财政干部运用法治思维和法治方式开展工作、解决问题的能力。二是结合财政改革，人员岗位调整，举办科级领导干部综合素能提升培训班，邀请省厅专家来邵授课，学习预算法及实施条例、政府会计改革、《政府采购法》以及新时期财政监督工作等财政政策法规，分析当前财政经济形势，提升财政业务理论和技能，提高干部职工履行岗位职责能力。三是组织全市财政系统干部参加湖南财政讲坛法治视频会，系统学习民法典、预算法及实施条例、等法律法规内容，进一步筑牢系统财政干部依法理财的意识，提高运用新法解决实际问题的理论水平和业务能力。四是组织国家工作人员学法考法，发放七五普法读本180本，民法典180本，引导全局干部职工学法用法，养成了遇事找法、办事依法、解决问题靠法的良好习惯。</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（四）建立健全财政制度，依法理财依法行政更加规范。</w:t>
            </w:r>
          </w:p>
          <w:p>
            <w:pPr>
              <w:widowControl w:val="0"/>
              <w:wordWrap/>
              <w:adjustRightInd/>
              <w:snapToGrid/>
              <w:spacing w:line="34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进一步强化预算约束，健全财政收支预算管理，我局制定了“政府过紧日子”九条措施。规范专项资金管理，修订和重新制定了专项资金管理办法16个。加强国库库款管理，防范财政支付风险，我局印发了《邵阳市财政局关于进一步推进市本级国库集中支付制度改革的通知》，确保库款保障系数不低于0.3。</w:t>
            </w:r>
            <w:r>
              <w:rPr>
                <w:rFonts w:hint="eastAsia" w:ascii="楷体" w:hAnsi="楷体" w:eastAsia="楷体" w:cs="楷体"/>
                <w:sz w:val="28"/>
                <w:szCs w:val="28"/>
                <w:lang w:eastAsia="zh-CN"/>
              </w:rPr>
              <w:t>实施国库集中支付“电子化”管理、“无纸化”支付，</w:t>
            </w:r>
            <w:r>
              <w:rPr>
                <w:rFonts w:hint="eastAsia" w:ascii="楷体" w:hAnsi="楷体" w:eastAsia="楷体" w:cs="楷体"/>
                <w:sz w:val="28"/>
                <w:szCs w:val="28"/>
              </w:rPr>
              <w:t>256家市直部门单位的财政资金全部纳入了预算执行动态监控</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全面实施预算公开和绩效管理，</w:t>
            </w:r>
            <w:r>
              <w:rPr>
                <w:rFonts w:hint="eastAsia" w:ascii="楷体" w:hAnsi="楷体" w:eastAsia="楷体" w:cs="楷体"/>
                <w:sz w:val="28"/>
                <w:szCs w:val="28"/>
              </w:rPr>
              <w:t>除涉密部门外，纳入部门预算的</w:t>
            </w:r>
            <w:r>
              <w:rPr>
                <w:rFonts w:hint="eastAsia" w:ascii="楷体" w:hAnsi="楷体" w:eastAsia="楷体" w:cs="楷体"/>
                <w:sz w:val="28"/>
                <w:szCs w:val="28"/>
                <w:lang w:val="en-US" w:eastAsia="zh-CN"/>
              </w:rPr>
              <w:t>259</w:t>
            </w:r>
            <w:r>
              <w:rPr>
                <w:rFonts w:hint="eastAsia" w:ascii="楷体" w:hAnsi="楷体" w:eastAsia="楷体" w:cs="楷体"/>
                <w:sz w:val="28"/>
                <w:szCs w:val="28"/>
              </w:rPr>
              <w:t>家单位全部公开</w:t>
            </w:r>
            <w:r>
              <w:rPr>
                <w:rFonts w:hint="eastAsia" w:ascii="楷体" w:hAnsi="楷体" w:eastAsia="楷体" w:cs="楷体"/>
                <w:sz w:val="28"/>
                <w:szCs w:val="28"/>
                <w:lang w:val="en-US" w:eastAsia="zh-CN"/>
              </w:rPr>
              <w:t>，市直276个</w:t>
            </w:r>
            <w:r>
              <w:rPr>
                <w:rFonts w:hint="eastAsia" w:ascii="楷体" w:hAnsi="楷体" w:eastAsia="楷体" w:cs="楷体"/>
                <w:sz w:val="28"/>
                <w:szCs w:val="28"/>
              </w:rPr>
              <w:t>预算单位</w:t>
            </w:r>
            <w:r>
              <w:rPr>
                <w:rFonts w:hint="eastAsia" w:ascii="楷体" w:hAnsi="楷体" w:eastAsia="楷体" w:cs="楷体"/>
                <w:sz w:val="28"/>
                <w:szCs w:val="28"/>
                <w:lang w:eastAsia="zh-CN"/>
              </w:rPr>
              <w:t>实现项目资金绩效管理全覆盖。</w:t>
            </w:r>
            <w:r>
              <w:rPr>
                <w:rFonts w:hint="eastAsia" w:ascii="楷体" w:hAnsi="楷体" w:eastAsia="楷体" w:cs="楷体"/>
                <w:sz w:val="28"/>
                <w:szCs w:val="28"/>
                <w:lang w:val="en-US" w:eastAsia="zh-CN"/>
              </w:rPr>
              <w:t>创新非税收入电子化收缴改革，</w:t>
            </w:r>
            <w:r>
              <w:rPr>
                <w:rFonts w:hint="eastAsia" w:ascii="楷体" w:hAnsi="楷体" w:eastAsia="楷体" w:cs="楷体"/>
                <w:sz w:val="28"/>
                <w:szCs w:val="28"/>
              </w:rPr>
              <w:t>开出全省市州首份</w:t>
            </w:r>
            <w:r>
              <w:rPr>
                <w:rFonts w:hint="eastAsia" w:ascii="楷体" w:hAnsi="楷体" w:eastAsia="楷体" w:cs="楷体"/>
                <w:sz w:val="28"/>
                <w:szCs w:val="28"/>
                <w:lang w:eastAsia="zh-CN"/>
              </w:rPr>
              <w:t>财政</w:t>
            </w:r>
            <w:r>
              <w:rPr>
                <w:rFonts w:hint="eastAsia" w:ascii="楷体" w:hAnsi="楷体" w:eastAsia="楷体" w:cs="楷体"/>
                <w:sz w:val="28"/>
                <w:szCs w:val="28"/>
              </w:rPr>
              <w:t>电子票据，真正实现了财政电子票据开具“一次都不用跑”，变“群众跑腿”为“数据跑路”</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打通服务群众最后一公里。</w:t>
            </w:r>
            <w:r>
              <w:rPr>
                <w:rFonts w:hint="eastAsia" w:ascii="楷体" w:hAnsi="楷体" w:eastAsia="楷体" w:cs="楷体"/>
                <w:sz w:val="28"/>
                <w:szCs w:val="28"/>
              </w:rPr>
              <w:t>制定并公布权力清单，让权力在法治轨道上运行。积极落实行政执法“三项制度”，规范行政执法行为</w:t>
            </w:r>
            <w:r>
              <w:rPr>
                <w:rFonts w:hint="eastAsia" w:ascii="楷体" w:hAnsi="楷体" w:eastAsia="楷体" w:cs="楷体"/>
                <w:sz w:val="28"/>
                <w:szCs w:val="28"/>
                <w:lang w:eastAsia="zh-CN"/>
              </w:rPr>
              <w:t>。引入</w:t>
            </w:r>
            <w:r>
              <w:rPr>
                <w:rFonts w:hint="eastAsia" w:ascii="楷体" w:hAnsi="楷体" w:eastAsia="楷体" w:cs="楷体"/>
                <w:sz w:val="28"/>
                <w:szCs w:val="28"/>
              </w:rPr>
              <w:t>法律顾问制度，将法治审核落实到重大行政决策全过程。</w:t>
            </w:r>
            <w:r>
              <w:rPr>
                <w:rFonts w:hint="eastAsia" w:ascii="楷体" w:hAnsi="楷体" w:eastAsia="楷体" w:cs="楷体"/>
                <w:sz w:val="28"/>
                <w:szCs w:val="28"/>
                <w:lang w:val="en-US" w:eastAsia="zh-CN"/>
              </w:rPr>
              <w:t>2020年，</w:t>
            </w:r>
            <w:r>
              <w:rPr>
                <w:rFonts w:hint="eastAsia" w:ascii="楷体" w:hAnsi="楷体" w:eastAsia="楷体" w:cs="楷体"/>
                <w:sz w:val="28"/>
                <w:szCs w:val="28"/>
              </w:rPr>
              <w:t>审核各种经济合同文书</w:t>
            </w:r>
            <w:r>
              <w:rPr>
                <w:rFonts w:hint="eastAsia" w:ascii="楷体" w:hAnsi="楷体" w:eastAsia="楷体" w:cs="楷体"/>
                <w:sz w:val="28"/>
                <w:szCs w:val="28"/>
                <w:lang w:val="en-US" w:eastAsia="zh-CN"/>
              </w:rPr>
              <w:t>56</w:t>
            </w:r>
            <w:r>
              <w:rPr>
                <w:rFonts w:hint="eastAsia" w:ascii="楷体" w:hAnsi="楷体" w:eastAsia="楷体" w:cs="楷体"/>
                <w:sz w:val="28"/>
                <w:szCs w:val="28"/>
              </w:rPr>
              <w:t>个，修改和完善合同内容</w:t>
            </w:r>
            <w:r>
              <w:rPr>
                <w:rFonts w:hint="eastAsia" w:ascii="楷体" w:hAnsi="楷体" w:eastAsia="楷体" w:cs="楷体"/>
                <w:sz w:val="28"/>
                <w:szCs w:val="28"/>
                <w:lang w:val="en-US" w:eastAsia="zh-CN"/>
              </w:rPr>
              <w:t>60余</w:t>
            </w:r>
            <w:r>
              <w:rPr>
                <w:rFonts w:hint="eastAsia" w:ascii="楷体" w:hAnsi="楷体" w:eastAsia="楷体" w:cs="楷体"/>
                <w:sz w:val="28"/>
                <w:szCs w:val="28"/>
              </w:rPr>
              <w:t>处，从很大程度上有效化解了法律风险</w:t>
            </w:r>
            <w:r>
              <w:rPr>
                <w:rFonts w:hint="eastAsia" w:ascii="楷体" w:hAnsi="楷体" w:eastAsia="楷体" w:cs="楷体"/>
                <w:sz w:val="28"/>
                <w:szCs w:val="28"/>
                <w:lang w:eastAsia="zh-CN"/>
              </w:rPr>
              <w:t>，财政管理法治化水平显著提升。</w:t>
            </w:r>
          </w:p>
          <w:p>
            <w:pPr>
              <w:spacing w:line="360" w:lineRule="auto"/>
              <w:ind w:firstLine="480" w:firstLineChars="20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99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楷体" w:hAnsi="楷体" w:eastAsia="楷体" w:cs="楷体"/>
                <w:sz w:val="24"/>
                <w:szCs w:val="24"/>
              </w:rPr>
            </w:pPr>
            <w:r>
              <w:rPr>
                <w:rFonts w:hint="eastAsia" w:ascii="楷体" w:hAnsi="楷体" w:eastAsia="楷体" w:cs="楷体"/>
                <w:sz w:val="24"/>
                <w:szCs w:val="24"/>
              </w:rPr>
              <w:t>产出效益</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4"/>
                <w:szCs w:val="24"/>
              </w:rPr>
            </w:pPr>
            <w:r>
              <w:rPr>
                <w:rFonts w:hint="eastAsia" w:ascii="楷体" w:hAnsi="楷体" w:eastAsia="楷体" w:cs="楷体"/>
                <w:sz w:val="24"/>
                <w:szCs w:val="24"/>
              </w:rPr>
              <w:t>　</w:t>
            </w:r>
          </w:p>
          <w:p>
            <w:pPr>
              <w:widowControl w:val="0"/>
              <w:wordWrap/>
              <w:adjustRightInd/>
              <w:snapToGrid/>
              <w:spacing w:line="300" w:lineRule="exact"/>
              <w:textAlignment w:val="auto"/>
              <w:rPr>
                <w:rFonts w:hint="eastAsia" w:ascii="楷体" w:hAnsi="楷体" w:eastAsia="楷体" w:cs="楷体"/>
                <w:sz w:val="28"/>
                <w:szCs w:val="28"/>
              </w:rPr>
            </w:pPr>
            <w:r>
              <w:rPr>
                <w:rFonts w:hint="eastAsia" w:ascii="楷体" w:hAnsi="楷体" w:eastAsia="楷体" w:cs="楷体"/>
                <w:sz w:val="28"/>
                <w:szCs w:val="28"/>
                <w:lang w:eastAsia="zh-CN"/>
              </w:rPr>
              <w:t>教育引导广大干</w:t>
            </w:r>
            <w:r>
              <w:rPr>
                <w:rFonts w:hint="eastAsia" w:ascii="楷体" w:hAnsi="楷体" w:eastAsia="楷体" w:cs="楷体"/>
                <w:sz w:val="28"/>
                <w:szCs w:val="28"/>
                <w:lang w:val="en-US" w:eastAsia="zh-CN"/>
              </w:rPr>
              <w:t>部群众学法守法，树立了宪法权威，弘扬了社会主义法治精神，筑牢法纪底线，干部群众的法</w:t>
            </w:r>
            <w:r>
              <w:rPr>
                <w:rFonts w:hint="eastAsia" w:ascii="楷体" w:hAnsi="楷体" w:eastAsia="楷体" w:cs="楷体"/>
                <w:sz w:val="28"/>
                <w:szCs w:val="28"/>
                <w:lang w:eastAsia="zh-CN"/>
              </w:rPr>
              <w:t>治意识进一步增强。全面推进依法理财，规范依法行政，全市财政系统法制工作者的法治素养和理论水平有了明显提升，财政干部依法行政依法理财能力有了明显提高。</w:t>
            </w:r>
          </w:p>
          <w:p>
            <w:pPr>
              <w:rPr>
                <w:rFonts w:hint="eastAsia" w:ascii="楷体" w:hAnsi="楷体" w:eastAsia="楷体" w:cs="楷体"/>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4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自评结论</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6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问题与建议</w:t>
            </w:r>
          </w:p>
        </w:tc>
        <w:tc>
          <w:tcPr>
            <w:tcW w:w="8556" w:type="dxa"/>
            <w:gridSpan w:val="7"/>
            <w:tcBorders>
              <w:top w:val="single" w:color="auto" w:sz="4" w:space="0"/>
              <w:left w:val="single" w:color="auto" w:sz="4" w:space="0"/>
              <w:bottom w:val="single" w:color="auto" w:sz="4" w:space="0"/>
              <w:right w:val="single" w:color="auto" w:sz="4" w:space="0"/>
            </w:tcBorders>
            <w:vAlign w:val="top"/>
          </w:tcPr>
          <w:p>
            <w:pPr>
              <w:pStyle w:val="4"/>
              <w:widowControl w:val="0"/>
              <w:wordWrap/>
              <w:adjustRightInd/>
              <w:snapToGrid/>
              <w:spacing w:line="300" w:lineRule="exact"/>
              <w:jc w:val="left"/>
              <w:textAlignment w:val="auto"/>
              <w:rPr>
                <w:rFonts w:hint="eastAsia" w:ascii="楷体" w:hAnsi="楷体" w:eastAsia="楷体" w:cs="楷体"/>
                <w:b/>
                <w:bCs/>
                <w:sz w:val="28"/>
                <w:szCs w:val="28"/>
                <w:lang w:val="en-US" w:eastAsia="zh-CN"/>
              </w:rPr>
            </w:pPr>
          </w:p>
          <w:p>
            <w:pPr>
              <w:pStyle w:val="4"/>
              <w:widowControl w:val="0"/>
              <w:wordWrap/>
              <w:adjustRightInd/>
              <w:snapToGrid/>
              <w:spacing w:line="300" w:lineRule="exact"/>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一、存在的问题</w:t>
            </w:r>
          </w:p>
          <w:p>
            <w:pPr>
              <w:pStyle w:val="4"/>
              <w:widowControl w:val="0"/>
              <w:wordWrap/>
              <w:adjustRightInd/>
              <w:snapToGrid/>
              <w:spacing w:line="300" w:lineRule="exact"/>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（一）是单位对法制工作机构重视不够。部分县市区法制机构不健全，法治工作由其他业务股室的工作人员兼任，导致法治工作被动、工作衔接不畅，直接影响了工作的开展和效率。</w:t>
            </w:r>
          </w:p>
          <w:p>
            <w:pPr>
              <w:widowControl w:val="0"/>
              <w:wordWrap/>
              <w:adjustRightInd/>
              <w:snapToGrid/>
              <w:spacing w:line="300" w:lineRule="exact"/>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（二）是法治联络员的作用发挥不够，普法责任制的落实有待加强。</w:t>
            </w:r>
          </w:p>
          <w:p>
            <w:pPr>
              <w:widowControl w:val="0"/>
              <w:wordWrap/>
              <w:adjustRightInd/>
              <w:snapToGrid/>
              <w:spacing w:line="300" w:lineRule="exact"/>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（三）法治宣传方式单一，大多仍采取摆摊咨询、送法下乡、挂横幅等传统媒体方式宣传，运用新媒体宣传有待加强。</w:t>
            </w:r>
          </w:p>
          <w:p>
            <w:pPr>
              <w:widowControl w:val="0"/>
              <w:wordWrap/>
              <w:adjustRightInd/>
              <w:snapToGrid/>
              <w:spacing w:line="300" w:lineRule="exact"/>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二、几点建议</w:t>
            </w:r>
          </w:p>
          <w:p>
            <w:pPr>
              <w:pStyle w:val="4"/>
              <w:widowControl w:val="0"/>
              <w:wordWrap/>
              <w:adjustRightInd/>
              <w:snapToGrid/>
              <w:spacing w:line="300" w:lineRule="exact"/>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（一）健全机制，落实责任，完善相关制度。督促还没有设立专门的法治机构的县区加快机构设置，畅通上下工作联系机制。</w:t>
            </w:r>
          </w:p>
          <w:p>
            <w:pPr>
              <w:widowControl w:val="0"/>
              <w:wordWrap/>
              <w:adjustRightInd/>
              <w:snapToGrid/>
              <w:spacing w:line="300" w:lineRule="exact"/>
              <w:jc w:val="left"/>
              <w:textAlignment w:val="auto"/>
              <w:rPr>
                <w:rFonts w:hint="eastAsia" w:ascii="楷体" w:hAnsi="楷体" w:eastAsia="楷体" w:cs="楷体"/>
                <w:sz w:val="28"/>
                <w:szCs w:val="28"/>
                <w:lang w:eastAsia="zh-CN"/>
              </w:rPr>
            </w:pPr>
            <w:r>
              <w:rPr>
                <w:rFonts w:hint="eastAsia" w:ascii="楷体" w:hAnsi="楷体" w:eastAsia="楷体" w:cs="楷体"/>
                <w:b w:val="0"/>
                <w:bCs w:val="0"/>
                <w:sz w:val="28"/>
                <w:szCs w:val="28"/>
                <w:lang w:val="en-US" w:eastAsia="zh-CN"/>
              </w:rPr>
              <w:t>（二）加强财政法治工作队伍建设。</w:t>
            </w:r>
            <w:r>
              <w:rPr>
                <w:rFonts w:hint="eastAsia" w:ascii="楷体" w:hAnsi="楷体" w:eastAsia="楷体" w:cs="楷体"/>
                <w:sz w:val="28"/>
                <w:szCs w:val="28"/>
                <w:lang w:val="en-US" w:eastAsia="zh-CN"/>
              </w:rPr>
              <w:t>加强财政法制干部</w:t>
            </w:r>
            <w:r>
              <w:rPr>
                <w:rFonts w:hint="eastAsia" w:ascii="楷体" w:hAnsi="楷体" w:eastAsia="楷体" w:cs="楷体"/>
                <w:sz w:val="28"/>
                <w:szCs w:val="28"/>
                <w:lang w:eastAsia="zh-CN"/>
              </w:rPr>
              <w:t>业务培训和考核工作，</w:t>
            </w:r>
            <w:r>
              <w:rPr>
                <w:rFonts w:hint="eastAsia" w:ascii="楷体" w:hAnsi="楷体" w:eastAsia="楷体" w:cs="楷体"/>
                <w:sz w:val="28"/>
                <w:szCs w:val="28"/>
                <w:lang w:val="en-US" w:eastAsia="zh-CN"/>
              </w:rPr>
              <w:t>财政法治机构人员不仅要“走出去”，去参加一些系统的专业的财政法治知识培训，同时也要“引进来”，邀请知名法学专家、教授来邵阳举办专题学习讲座，提高财政法治工作人员的业务能力和专业水平</w:t>
            </w:r>
            <w:r>
              <w:rPr>
                <w:rFonts w:hint="eastAsia" w:ascii="楷体" w:hAnsi="楷体" w:eastAsia="楷体" w:cs="楷体"/>
                <w:sz w:val="28"/>
                <w:szCs w:val="28"/>
                <w:lang w:eastAsia="zh-CN"/>
              </w:rPr>
              <w:t>。</w:t>
            </w:r>
          </w:p>
          <w:p>
            <w:pPr>
              <w:widowControl w:val="0"/>
              <w:wordWrap/>
              <w:adjustRightInd/>
              <w:snapToGrid/>
              <w:spacing w:line="300" w:lineRule="exact"/>
              <w:jc w:val="left"/>
              <w:textAlignment w:val="auto"/>
              <w:rPr>
                <w:rFonts w:hint="eastAsia" w:ascii="楷体" w:hAnsi="楷体" w:eastAsia="楷体" w:cs="楷体"/>
                <w:b/>
                <w:bCs/>
                <w:sz w:val="32"/>
                <w:szCs w:val="32"/>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w:t>
            </w:r>
            <w:r>
              <w:rPr>
                <w:rFonts w:hint="eastAsia" w:ascii="楷体" w:hAnsi="楷体" w:eastAsia="楷体" w:cs="楷体"/>
                <w:b w:val="0"/>
                <w:bCs w:val="0"/>
                <w:sz w:val="28"/>
                <w:szCs w:val="28"/>
                <w:lang w:val="en-US" w:eastAsia="zh-CN"/>
              </w:rPr>
              <w:t>夯实财政普法制度基石，推进普法宣传工作创新。</w:t>
            </w:r>
            <w:r>
              <w:rPr>
                <w:rFonts w:hint="eastAsia" w:ascii="楷体" w:hAnsi="楷体" w:eastAsia="楷体" w:cs="楷体"/>
                <w:sz w:val="28"/>
                <w:szCs w:val="28"/>
                <w:lang w:val="en-US" w:eastAsia="zh-CN"/>
              </w:rPr>
              <w:t>按照“谁执法谁普法”“谁服务谁普法”“谁主管谁普法”的原则建立和落实普法宣传责任制，建立科室普法责任清单动态销号制度，充分发挥财政法制联络员的作用。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22" w:hRule="atLeast"/>
          <w:jc w:val="center"/>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vAlign w:val="top"/>
          </w:tcPr>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r>
              <w:rPr>
                <w:rFonts w:hint="eastAsia" w:ascii="楷体" w:hAnsi="楷体" w:eastAsia="楷体" w:cs="楷体"/>
                <w:sz w:val="24"/>
                <w:szCs w:val="24"/>
              </w:rPr>
              <w:t>主管部门（盖章）：</w:t>
            </w:r>
          </w:p>
        </w:tc>
      </w:tr>
    </w:tbl>
    <w:p>
      <w:pPr>
        <w:spacing w:line="480" w:lineRule="exact"/>
        <w:rPr>
          <w:rFonts w:hint="eastAsia" w:ascii="楷体" w:hAnsi="楷体" w:eastAsia="楷体" w:cs="楷体"/>
          <w:sz w:val="28"/>
          <w:szCs w:val="28"/>
        </w:rPr>
      </w:pPr>
      <w:r>
        <w:rPr>
          <w:rFonts w:hint="eastAsia" w:ascii="楷体" w:hAnsi="楷体" w:eastAsia="楷体" w:cs="楷体"/>
          <w:sz w:val="28"/>
          <w:szCs w:val="28"/>
        </w:rPr>
        <w:t>单位负责人：</w:t>
      </w:r>
      <w:r>
        <w:rPr>
          <w:rFonts w:hint="eastAsia" w:ascii="楷体" w:hAnsi="楷体" w:eastAsia="楷体" w:cs="楷体"/>
          <w:sz w:val="28"/>
          <w:szCs w:val="28"/>
          <w:lang w:val="en-US" w:eastAsia="zh-CN"/>
        </w:rPr>
        <w:t>陈刚</w:t>
      </w:r>
    </w:p>
    <w:p>
      <w:pPr>
        <w:spacing w:line="480" w:lineRule="exact"/>
        <w:rPr>
          <w:rFonts w:hint="eastAsia" w:ascii="楷体" w:hAnsi="楷体" w:eastAsia="楷体" w:cs="楷体"/>
          <w:sz w:val="28"/>
          <w:szCs w:val="28"/>
        </w:rPr>
      </w:pPr>
      <w:r>
        <w:rPr>
          <w:rFonts w:hint="eastAsia" w:ascii="楷体" w:hAnsi="楷体" w:eastAsia="楷体" w:cs="楷体"/>
          <w:sz w:val="28"/>
          <w:szCs w:val="28"/>
        </w:rPr>
        <w:t>专项（项目）负责人：</w:t>
      </w:r>
      <w:r>
        <w:rPr>
          <w:rFonts w:hint="eastAsia" w:ascii="楷体" w:hAnsi="楷体" w:eastAsia="楷体" w:cs="楷体"/>
          <w:sz w:val="28"/>
          <w:szCs w:val="28"/>
          <w:lang w:val="en-US" w:eastAsia="zh-CN"/>
        </w:rPr>
        <w:t>陈刚</w:t>
      </w:r>
    </w:p>
    <w:p>
      <w:pPr>
        <w:spacing w:line="480" w:lineRule="exact"/>
      </w:pPr>
      <w:r>
        <w:rPr>
          <w:rFonts w:hint="eastAsia" w:ascii="楷体" w:hAnsi="楷体" w:eastAsia="楷体" w:cs="楷体"/>
          <w:sz w:val="28"/>
          <w:szCs w:val="28"/>
        </w:rPr>
        <w:t>评价负责人：</w:t>
      </w:r>
      <w:r>
        <w:rPr>
          <w:rFonts w:hint="eastAsia" w:ascii="楷体" w:hAnsi="楷体" w:eastAsia="楷体" w:cs="楷体"/>
          <w:sz w:val="28"/>
          <w:szCs w:val="28"/>
          <w:lang w:eastAsia="zh-CN"/>
        </w:rPr>
        <w:t>陈秀芹</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customStyle="1" w:styleId="7">
    <w:name w:val="Char Char Char Char Char Char"/>
    <w:basedOn w:val="1"/>
    <w:qFormat/>
    <w:uiPriority w:val="0"/>
    <w:pPr>
      <w:adjustRightInd w:val="0"/>
    </w:pPr>
    <w:rPr>
      <w:rFonts w:ascii="Tahoma" w:hAnsi="Tahoma"/>
      <w:sz w:val="24"/>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2959</Words>
  <Characters>3101</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2016-12-12T01:21:00Z</dcterms:created>
  <dc:creator>dreamsummit</dc:creator>
  <cp:lastModifiedBy>Administrator</cp:lastModifiedBy>
  <cp:lastPrinted>2020-11-18T07:54:00Z</cp:lastPrinted>
  <dcterms:modified xsi:type="dcterms:W3CDTF">2021-09-03T07:50:52Z</dcterms:modified>
  <dc:title>法制宣传培训专项资金支出绩效自评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88831A7654424A808CE9A3ECAEF06586</vt:lpwstr>
  </property>
</Properties>
</file>